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141E1" w14:textId="56619011"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532800" w:rsidRPr="00532800">
        <w:rPr>
          <w:sz w:val="32"/>
          <w:szCs w:val="32"/>
        </w:rPr>
        <w:t>R2-1704422</w:t>
      </w:r>
    </w:p>
    <w:p w14:paraId="63F907B0" w14:textId="51B1A03E" w:rsidR="00E90E49" w:rsidRPr="00CE0424" w:rsidRDefault="00532800" w:rsidP="00311702">
      <w:pPr>
        <w:pStyle w:val="3GPPHeader"/>
      </w:pPr>
      <w:r>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63A8D88E" w14:textId="77777777" w:rsidR="00E90E49" w:rsidRPr="00CE0424" w:rsidRDefault="00E90E49" w:rsidP="00357380">
      <w:pPr>
        <w:pStyle w:val="3GPPHeader"/>
      </w:pPr>
    </w:p>
    <w:p w14:paraId="5F88B5D2" w14:textId="38999A4D" w:rsidR="00E90E49" w:rsidRPr="00691656" w:rsidRDefault="00E90E49" w:rsidP="00311702">
      <w:pPr>
        <w:pStyle w:val="3GPPHeader"/>
        <w:rPr>
          <w:sz w:val="22"/>
          <w:szCs w:val="22"/>
          <w:lang w:val="en-US"/>
        </w:rPr>
      </w:pPr>
      <w:r w:rsidRPr="00691656">
        <w:rPr>
          <w:sz w:val="22"/>
          <w:szCs w:val="22"/>
          <w:lang w:val="en-US"/>
        </w:rPr>
        <w:t>Agenda Item:</w:t>
      </w:r>
      <w:r w:rsidRPr="00691656">
        <w:rPr>
          <w:sz w:val="22"/>
          <w:szCs w:val="22"/>
          <w:lang w:val="en-US"/>
        </w:rPr>
        <w:tab/>
      </w:r>
      <w:r w:rsidR="00532800" w:rsidRPr="00691656">
        <w:rPr>
          <w:sz w:val="22"/>
          <w:szCs w:val="22"/>
          <w:lang w:val="en-US"/>
        </w:rPr>
        <w:t>10.2.</w:t>
      </w:r>
      <w:r w:rsidR="005D0157">
        <w:rPr>
          <w:sz w:val="22"/>
          <w:szCs w:val="22"/>
          <w:lang w:val="en-US"/>
        </w:rPr>
        <w:t>5</w:t>
      </w:r>
    </w:p>
    <w:p w14:paraId="1AB42B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EC4105" w14:textId="04EC7619" w:rsidR="00E90E49" w:rsidRPr="00CE0424" w:rsidRDefault="003D3C45" w:rsidP="00311702">
      <w:pPr>
        <w:pStyle w:val="3GPPHeader"/>
        <w:rPr>
          <w:sz w:val="22"/>
          <w:szCs w:val="22"/>
        </w:rPr>
      </w:pPr>
      <w:r>
        <w:rPr>
          <w:sz w:val="22"/>
          <w:szCs w:val="22"/>
        </w:rPr>
        <w:t>Title:</w:t>
      </w:r>
      <w:r w:rsidR="00E90E49" w:rsidRPr="00CE0424">
        <w:rPr>
          <w:sz w:val="22"/>
          <w:szCs w:val="22"/>
        </w:rPr>
        <w:tab/>
      </w:r>
      <w:r w:rsidR="00532800">
        <w:rPr>
          <w:sz w:val="22"/>
          <w:szCs w:val="22"/>
        </w:rPr>
        <w:t>SCG</w:t>
      </w:r>
      <w:r w:rsidR="007A11C8">
        <w:rPr>
          <w:sz w:val="22"/>
          <w:szCs w:val="22"/>
        </w:rPr>
        <w:t xml:space="preserve"> SRB </w:t>
      </w:r>
      <w:r w:rsidR="00AE4397">
        <w:rPr>
          <w:sz w:val="22"/>
          <w:szCs w:val="22"/>
        </w:rPr>
        <w:t xml:space="preserve">setup procedures </w:t>
      </w:r>
    </w:p>
    <w:p w14:paraId="5E871F9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32800">
        <w:rPr>
          <w:sz w:val="22"/>
          <w:szCs w:val="22"/>
        </w:rPr>
        <w:t>Discussion, Decision</w:t>
      </w:r>
    </w:p>
    <w:p w14:paraId="00D3448A" w14:textId="77777777" w:rsidR="00E90E49" w:rsidRPr="00CE0424" w:rsidRDefault="00E90E49" w:rsidP="00E90E49"/>
    <w:p w14:paraId="43F91875" w14:textId="77777777" w:rsidR="00C24345" w:rsidRDefault="00E90E49" w:rsidP="00A2052C">
      <w:pPr>
        <w:pStyle w:val="Heading1"/>
      </w:pPr>
      <w:r w:rsidRPr="00CE0424">
        <w:t>Introduction</w:t>
      </w:r>
    </w:p>
    <w:p w14:paraId="462C0E6E" w14:textId="77777777" w:rsidR="00A404C6" w:rsidRDefault="00A404C6" w:rsidP="00A2052C">
      <w:r>
        <w:t>In RAN2#97, it was agreed to support the following for LTE-NR tight interworking where LTE is the master (EN-DC)</w:t>
      </w:r>
    </w:p>
    <w:p w14:paraId="233273AB" w14:textId="77777777" w:rsidR="00A404C6" w:rsidRDefault="00A404C6" w:rsidP="00A404C6">
      <w:pPr>
        <w:pStyle w:val="ListParagraph"/>
        <w:numPr>
          <w:ilvl w:val="0"/>
          <w:numId w:val="16"/>
        </w:numPr>
      </w:pPr>
      <w:r>
        <w:t>the splitting of SRBs</w:t>
      </w:r>
    </w:p>
    <w:p w14:paraId="618C3B90" w14:textId="77777777" w:rsidR="00A404C6" w:rsidRDefault="00A404C6" w:rsidP="00A404C6">
      <w:pPr>
        <w:pStyle w:val="ListParagraph"/>
        <w:numPr>
          <w:ilvl w:val="0"/>
          <w:numId w:val="16"/>
        </w:numPr>
      </w:pPr>
      <w:r>
        <w:t xml:space="preserve">a direct SRB from the SN. </w:t>
      </w:r>
    </w:p>
    <w:p w14:paraId="5BD5F859" w14:textId="77777777" w:rsidR="00A404C6" w:rsidRDefault="00A404C6" w:rsidP="00A404C6">
      <w:r>
        <w:t xml:space="preserve">Also, in RAN2#97bis, it was further agreed that the </w:t>
      </w:r>
    </w:p>
    <w:p w14:paraId="67C855EC" w14:textId="09668F2B" w:rsidR="00931D80" w:rsidRDefault="00931D80" w:rsidP="00931D80">
      <w:pPr>
        <w:pStyle w:val="ListParagraph"/>
        <w:numPr>
          <w:ilvl w:val="0"/>
          <w:numId w:val="22"/>
        </w:numPr>
      </w:pPr>
      <w:r>
        <w:t>f</w:t>
      </w:r>
      <w:r w:rsidRPr="00931D80">
        <w:t>or LTE-NR tight interworking where LTE is the MN with SCG SRB configured, only one SRB is required on the SN side, and only for</w:t>
      </w:r>
      <w:r>
        <w:t xml:space="preserve"> messages corresponding to SRB1</w:t>
      </w:r>
    </w:p>
    <w:p w14:paraId="45F778BE" w14:textId="57E406BC" w:rsidR="00945715" w:rsidRPr="003B0E81" w:rsidRDefault="003B0E81" w:rsidP="003B0E81">
      <w:pPr>
        <w:pStyle w:val="ListParagraph"/>
        <w:numPr>
          <w:ilvl w:val="0"/>
          <w:numId w:val="22"/>
        </w:numPr>
        <w:rPr>
          <w:lang w:val="en-US"/>
        </w:rPr>
      </w:pPr>
      <w:r>
        <w:rPr>
          <w:lang w:val="en-US"/>
        </w:rPr>
        <w:t>t</w:t>
      </w:r>
      <w:r w:rsidR="007A11C8" w:rsidRPr="003B0E81">
        <w:rPr>
          <w:lang w:val="en-US"/>
        </w:rPr>
        <w:t>he following RRC messages can be sent via the SRB in the SCG: RRCConnectionReconfiguration,  RRCConnectionReconfigurationComplete, MeasurementReport</w:t>
      </w:r>
    </w:p>
    <w:p w14:paraId="3AA563E5" w14:textId="4C1394EA" w:rsidR="00A404C6" w:rsidRDefault="00A404C6" w:rsidP="00A404C6">
      <w:pPr>
        <w:pStyle w:val="ListParagraph"/>
        <w:numPr>
          <w:ilvl w:val="0"/>
          <w:numId w:val="17"/>
        </w:numPr>
      </w:pPr>
      <w:r>
        <w:t>direct SRB from the SN will n</w:t>
      </w:r>
      <w:r w:rsidR="00931D80">
        <w:t>ot support splitting in Rel-15</w:t>
      </w:r>
    </w:p>
    <w:p w14:paraId="7D8FAA1E" w14:textId="20B3A615" w:rsidR="00945715" w:rsidRDefault="007A11C8" w:rsidP="007B6B5E">
      <w:pPr>
        <w:pStyle w:val="ListParagraph"/>
        <w:numPr>
          <w:ilvl w:val="0"/>
          <w:numId w:val="17"/>
        </w:numPr>
      </w:pPr>
      <w:r w:rsidRPr="007B6B5E">
        <w:t>SCG SRB is of higher scheduling priority than all DRBs.</w:t>
      </w:r>
    </w:p>
    <w:p w14:paraId="3AF6A385" w14:textId="57398C46" w:rsidR="00097227" w:rsidRDefault="00097227" w:rsidP="00097227">
      <w:pPr>
        <w:pStyle w:val="ListParagraph"/>
        <w:numPr>
          <w:ilvl w:val="0"/>
          <w:numId w:val="17"/>
        </w:numPr>
      </w:pPr>
      <w:r>
        <w:t>SCG SRB can be configured based on network decision.</w:t>
      </w:r>
    </w:p>
    <w:p w14:paraId="22EBF44B" w14:textId="4AE27F24" w:rsidR="00097227" w:rsidRDefault="00097227" w:rsidP="00097227">
      <w:pPr>
        <w:pStyle w:val="ListParagraph"/>
        <w:numPr>
          <w:ilvl w:val="0"/>
          <w:numId w:val="17"/>
        </w:numPr>
      </w:pPr>
      <w:r>
        <w:t>Addition of SCG SRB is decided by SN.</w:t>
      </w:r>
    </w:p>
    <w:p w14:paraId="5107A5F4" w14:textId="77777777" w:rsidR="00097227" w:rsidRDefault="00097227" w:rsidP="00097227">
      <w:pPr>
        <w:pStyle w:val="ListParagraph"/>
        <w:numPr>
          <w:ilvl w:val="1"/>
          <w:numId w:val="17"/>
        </w:numPr>
      </w:pPr>
      <w:r>
        <w:t>FFS Whether the MN can request establishment of SCG SRB</w:t>
      </w:r>
    </w:p>
    <w:p w14:paraId="2D767123" w14:textId="7AECDF25" w:rsidR="00097227" w:rsidRDefault="00097227" w:rsidP="00097227">
      <w:pPr>
        <w:pStyle w:val="ListParagraph"/>
        <w:numPr>
          <w:ilvl w:val="0"/>
          <w:numId w:val="17"/>
        </w:numPr>
      </w:pPr>
      <w:r>
        <w:t>SCG SRB configuration is provided by NR RRC from SN.</w:t>
      </w:r>
    </w:p>
    <w:p w14:paraId="147CA79B" w14:textId="77777777" w:rsidR="00097227" w:rsidRDefault="00097227" w:rsidP="00097227">
      <w:pPr>
        <w:pStyle w:val="ListParagraph"/>
        <w:numPr>
          <w:ilvl w:val="0"/>
          <w:numId w:val="17"/>
        </w:numPr>
      </w:pPr>
      <w:r>
        <w:t>FFS Whether explicit configuration is also supported for measurement reports.</w:t>
      </w:r>
    </w:p>
    <w:p w14:paraId="032881D7" w14:textId="7986F62E" w:rsidR="00097227" w:rsidRDefault="00097227" w:rsidP="00097227">
      <w:pPr>
        <w:pStyle w:val="ListParagraph"/>
        <w:numPr>
          <w:ilvl w:val="0"/>
          <w:numId w:val="17"/>
        </w:numPr>
      </w:pPr>
      <w:r>
        <w:t>EN-DC can only be configured after security activation on LTE.</w:t>
      </w:r>
    </w:p>
    <w:p w14:paraId="0DD93413" w14:textId="77777777" w:rsidR="007B6B5E" w:rsidRDefault="007B6B5E" w:rsidP="007B6B5E">
      <w:pPr>
        <w:pStyle w:val="ListParagraph"/>
      </w:pPr>
    </w:p>
    <w:p w14:paraId="58C53E41" w14:textId="57C5BF9A" w:rsidR="00931D80" w:rsidRDefault="00931D80" w:rsidP="00A2052C">
      <w:r>
        <w:t>In this</w:t>
      </w:r>
      <w:r w:rsidR="00611BDC">
        <w:t xml:space="preserve"> contribution, we discuss the procedure for the configuration of the</w:t>
      </w:r>
      <w:r>
        <w:t xml:space="preserve"> direct SRB</w:t>
      </w:r>
      <w:r w:rsidR="00532800">
        <w:t xml:space="preserve"> (referred to as SCG SRB from here onwards)</w:t>
      </w:r>
      <w:r w:rsidR="00611BDC">
        <w:t>.</w:t>
      </w:r>
      <w:r>
        <w:t xml:space="preserve"> </w:t>
      </w:r>
    </w:p>
    <w:p w14:paraId="150A27A9" w14:textId="77777777" w:rsidR="004000E8" w:rsidRPr="00CE0424" w:rsidRDefault="004000E8" w:rsidP="00CE0424">
      <w:pPr>
        <w:pStyle w:val="Heading1"/>
      </w:pPr>
      <w:bookmarkStart w:id="0" w:name="_Ref178064866"/>
      <w:r w:rsidRPr="00CE0424">
        <w:t>Discussion</w:t>
      </w:r>
      <w:bookmarkEnd w:id="0"/>
    </w:p>
    <w:p w14:paraId="720DB734" w14:textId="06B73C69" w:rsidR="00691656" w:rsidRDefault="00691656" w:rsidP="00691656">
      <w:pPr>
        <w:pStyle w:val="IvDInstructiontext"/>
        <w:rPr>
          <w:rStyle w:val="IvDbodytextChar"/>
          <w:i w:val="0"/>
          <w:color w:val="auto"/>
          <w:sz w:val="20"/>
          <w:szCs w:val="20"/>
        </w:rPr>
      </w:pPr>
      <w:r>
        <w:rPr>
          <w:rStyle w:val="IvDbodytextChar"/>
          <w:i w:val="0"/>
          <w:color w:val="auto"/>
          <w:sz w:val="20"/>
          <w:szCs w:val="20"/>
        </w:rPr>
        <w:t xml:space="preserve">As agreed in RAN2#97bis, the addition of the SCG SRB is decided by the SN, while it is FFS if the MN can request it. From the MN’s point of view, if RRC diversity is needed, it can be achieved through the configuration of split SRB1/2. Thus, the setup of the SCG SRB is solely to facilitate the NR RRC </w:t>
      </w:r>
      <w:r w:rsidR="0096795F">
        <w:rPr>
          <w:rStyle w:val="IvDbodytextChar"/>
          <w:i w:val="0"/>
          <w:color w:val="auto"/>
          <w:sz w:val="20"/>
          <w:szCs w:val="20"/>
        </w:rPr>
        <w:t xml:space="preserve">configuration from the SN and </w:t>
      </w:r>
      <w:r>
        <w:rPr>
          <w:rStyle w:val="IvDbodytextChar"/>
          <w:i w:val="0"/>
          <w:color w:val="auto"/>
          <w:sz w:val="20"/>
          <w:szCs w:val="20"/>
        </w:rPr>
        <w:t xml:space="preserve">transfer </w:t>
      </w:r>
      <w:r w:rsidR="0096795F">
        <w:rPr>
          <w:rStyle w:val="IvDbodytextChar"/>
          <w:i w:val="0"/>
          <w:color w:val="auto"/>
          <w:sz w:val="20"/>
          <w:szCs w:val="20"/>
        </w:rPr>
        <w:t xml:space="preserve">of </w:t>
      </w:r>
      <w:r w:rsidR="00F81656">
        <w:rPr>
          <w:rStyle w:val="IvDbodytextChar"/>
          <w:i w:val="0"/>
          <w:color w:val="auto"/>
          <w:sz w:val="20"/>
          <w:szCs w:val="20"/>
        </w:rPr>
        <w:t xml:space="preserve">NR RRC </w:t>
      </w:r>
      <w:r w:rsidR="0096795F">
        <w:rPr>
          <w:rStyle w:val="IvDbodytextChar"/>
          <w:i w:val="0"/>
          <w:color w:val="auto"/>
          <w:sz w:val="20"/>
          <w:szCs w:val="20"/>
        </w:rPr>
        <w:t>measurement reports from the UE to the SN</w:t>
      </w:r>
      <w:r>
        <w:rPr>
          <w:rStyle w:val="IvDbodytextChar"/>
          <w:i w:val="0"/>
          <w:color w:val="auto"/>
          <w:sz w:val="20"/>
          <w:szCs w:val="20"/>
        </w:rPr>
        <w:t>. Thus, we propose:</w:t>
      </w:r>
    </w:p>
    <w:p w14:paraId="133A2773" w14:textId="77777777" w:rsidR="00691656" w:rsidRDefault="00691656" w:rsidP="00691656">
      <w:pPr>
        <w:pStyle w:val="IvDInstructiontext"/>
        <w:rPr>
          <w:rStyle w:val="IvDbodytextChar"/>
          <w:i w:val="0"/>
          <w:color w:val="auto"/>
          <w:sz w:val="20"/>
          <w:szCs w:val="20"/>
        </w:rPr>
      </w:pPr>
    </w:p>
    <w:p w14:paraId="10A95572" w14:textId="7B9610AA" w:rsidR="00F73D54" w:rsidRDefault="00F73D54" w:rsidP="007D2750">
      <w:pPr>
        <w:pStyle w:val="Proposal"/>
        <w:numPr>
          <w:ilvl w:val="0"/>
          <w:numId w:val="30"/>
        </w:numPr>
      </w:pPr>
      <w:r>
        <w:t xml:space="preserve">The SCG SRB </w:t>
      </w:r>
      <w:r w:rsidR="007D2750" w:rsidRPr="007D2750">
        <w:t xml:space="preserve">addition is decided by </w:t>
      </w:r>
      <w:r w:rsidR="0034096E">
        <w:t xml:space="preserve">the </w:t>
      </w:r>
      <w:r w:rsidR="007D2750" w:rsidRPr="007D2750">
        <w:t xml:space="preserve">SN </w:t>
      </w:r>
      <w:r>
        <w:t>and it</w:t>
      </w:r>
      <w:r w:rsidR="00F147C3">
        <w:t>s configuration and usage</w:t>
      </w:r>
      <w:r>
        <w:t xml:space="preserve"> is completely transparent to the MN.</w:t>
      </w:r>
    </w:p>
    <w:p w14:paraId="6D5B9BCC" w14:textId="77777777" w:rsidR="00546766" w:rsidRDefault="00546766" w:rsidP="00546766">
      <w:pPr>
        <w:pStyle w:val="Proposal"/>
        <w:numPr>
          <w:ilvl w:val="0"/>
          <w:numId w:val="0"/>
        </w:numPr>
      </w:pPr>
    </w:p>
    <w:p w14:paraId="7EECD11F" w14:textId="70AE5815" w:rsidR="00611BDC" w:rsidRDefault="0079649C" w:rsidP="00A404C6">
      <w:pPr>
        <w:pStyle w:val="IvDInstructiontext"/>
        <w:rPr>
          <w:rStyle w:val="IvDbodytextChar"/>
          <w:i w:val="0"/>
          <w:color w:val="auto"/>
          <w:sz w:val="20"/>
          <w:szCs w:val="20"/>
        </w:rPr>
      </w:pPr>
      <w:r>
        <w:rPr>
          <w:rStyle w:val="IvDbodytextChar"/>
          <w:i w:val="0"/>
          <w:color w:val="auto"/>
          <w:sz w:val="20"/>
          <w:szCs w:val="20"/>
        </w:rPr>
        <w:lastRenderedPageBreak/>
        <w:t>Figure 1 show</w:t>
      </w:r>
      <w:r w:rsidR="0096795F">
        <w:rPr>
          <w:rStyle w:val="IvDbodytextChar"/>
          <w:i w:val="0"/>
          <w:color w:val="auto"/>
          <w:sz w:val="20"/>
          <w:szCs w:val="20"/>
        </w:rPr>
        <w:t>s</w:t>
      </w:r>
      <w:r>
        <w:rPr>
          <w:rStyle w:val="IvDbodytextChar"/>
          <w:i w:val="0"/>
          <w:color w:val="auto"/>
          <w:sz w:val="20"/>
          <w:szCs w:val="20"/>
        </w:rPr>
        <w:t xml:space="preserve"> the SN addition procedure in LTE DC. In the SeNB Addition Request message, the </w:t>
      </w:r>
      <w:r w:rsidRPr="0079649C">
        <w:rPr>
          <w:rStyle w:val="IvDbodytextChar"/>
          <w:i w:val="0"/>
          <w:color w:val="auto"/>
          <w:sz w:val="20"/>
          <w:szCs w:val="20"/>
        </w:rPr>
        <w:t>MeNB request</w:t>
      </w:r>
      <w:r w:rsidR="0096795F">
        <w:rPr>
          <w:rStyle w:val="IvDbodytextChar"/>
          <w:i w:val="0"/>
          <w:color w:val="auto"/>
          <w:sz w:val="20"/>
          <w:szCs w:val="20"/>
        </w:rPr>
        <w:t>s</w:t>
      </w:r>
      <w:r w:rsidRPr="0079649C">
        <w:rPr>
          <w:rStyle w:val="IvDbodytextChar"/>
          <w:i w:val="0"/>
          <w:color w:val="auto"/>
          <w:sz w:val="20"/>
          <w:szCs w:val="20"/>
        </w:rPr>
        <w:t xml:space="preserve"> the SeNB to allocate radio resources for a specific E-RAB, indicating E-RAB characteristics </w:t>
      </w:r>
      <w:r>
        <w:rPr>
          <w:rStyle w:val="IvDbodytextChar"/>
          <w:i w:val="0"/>
          <w:color w:val="auto"/>
          <w:sz w:val="20"/>
          <w:szCs w:val="20"/>
        </w:rPr>
        <w:t>and also i</w:t>
      </w:r>
      <w:r w:rsidRPr="0079649C">
        <w:rPr>
          <w:rStyle w:val="IvDbodytextChar"/>
          <w:i w:val="0"/>
          <w:color w:val="auto"/>
          <w:sz w:val="20"/>
          <w:szCs w:val="20"/>
        </w:rPr>
        <w:t xml:space="preserve">ndicates within </w:t>
      </w:r>
      <w:r w:rsidRPr="0079649C">
        <w:rPr>
          <w:rStyle w:val="IvDbodytextChar"/>
          <w:color w:val="auto"/>
          <w:sz w:val="20"/>
          <w:szCs w:val="20"/>
        </w:rPr>
        <w:t>SCG-ConfigInfo</w:t>
      </w:r>
      <w:r w:rsidRPr="0079649C">
        <w:rPr>
          <w:rStyle w:val="IvDbodytextChar"/>
          <w:i w:val="0"/>
          <w:color w:val="auto"/>
          <w:sz w:val="20"/>
          <w:szCs w:val="20"/>
        </w:rPr>
        <w:t xml:space="preserve"> the MCG configuration and the entire UE capabilities for UE capability coordination to be used as basis for the reconfiguration by the SeNB</w:t>
      </w:r>
      <w:r>
        <w:rPr>
          <w:rStyle w:val="IvDbodytextChar"/>
          <w:i w:val="0"/>
          <w:color w:val="auto"/>
          <w:sz w:val="20"/>
          <w:szCs w:val="20"/>
        </w:rPr>
        <w:t xml:space="preserve">. The SCG configuration is not included in the </w:t>
      </w:r>
      <w:r w:rsidRPr="0079649C">
        <w:rPr>
          <w:rStyle w:val="IvDbodytextChar"/>
          <w:color w:val="auto"/>
          <w:sz w:val="20"/>
          <w:szCs w:val="20"/>
        </w:rPr>
        <w:t>SCG-ConfigInfo</w:t>
      </w:r>
      <w:r w:rsidR="00C1427C">
        <w:rPr>
          <w:rStyle w:val="IvDbodytextChar"/>
          <w:color w:val="auto"/>
          <w:sz w:val="20"/>
          <w:szCs w:val="20"/>
        </w:rPr>
        <w:t>.</w:t>
      </w:r>
      <w:r w:rsidR="00691656">
        <w:rPr>
          <w:rStyle w:val="IvDbodytextChar"/>
          <w:i w:val="0"/>
          <w:color w:val="auto"/>
          <w:sz w:val="20"/>
          <w:szCs w:val="20"/>
        </w:rPr>
        <w:t xml:space="preserve"> The SeNB includes the SCG configuration to be used in the </w:t>
      </w:r>
      <w:r w:rsidR="00691656" w:rsidRPr="0079649C">
        <w:rPr>
          <w:rStyle w:val="IvDbodytextChar"/>
          <w:color w:val="auto"/>
          <w:sz w:val="20"/>
          <w:szCs w:val="20"/>
        </w:rPr>
        <w:t>SCG-Config</w:t>
      </w:r>
      <w:r w:rsidR="00691656">
        <w:rPr>
          <w:rStyle w:val="IvDbodytextChar"/>
          <w:i w:val="0"/>
          <w:color w:val="auto"/>
          <w:sz w:val="20"/>
          <w:szCs w:val="20"/>
        </w:rPr>
        <w:t xml:space="preserve"> information element when it responds to the addition request (assuming the SeNB’s RRM have decided to accept the addition request). This is the configuration that the MeNB passes to the UE in the </w:t>
      </w:r>
      <w:r w:rsidR="00691656" w:rsidRPr="00C1427C">
        <w:rPr>
          <w:rStyle w:val="IvDbodytextChar"/>
          <w:color w:val="auto"/>
          <w:sz w:val="20"/>
          <w:szCs w:val="20"/>
        </w:rPr>
        <w:t>RRCConnectionReconfiguration</w:t>
      </w:r>
      <w:r w:rsidR="00691656">
        <w:rPr>
          <w:rStyle w:val="IvDbodytextChar"/>
          <w:i w:val="0"/>
          <w:color w:val="auto"/>
          <w:sz w:val="20"/>
          <w:szCs w:val="20"/>
        </w:rPr>
        <w:t xml:space="preserve"> message and used by the UE to configure the SCG. The </w:t>
      </w:r>
      <w:r w:rsidR="00202C06">
        <w:rPr>
          <w:rStyle w:val="IvDbodytextChar"/>
          <w:i w:val="0"/>
          <w:color w:val="auto"/>
          <w:sz w:val="20"/>
          <w:szCs w:val="20"/>
        </w:rPr>
        <w:t xml:space="preserve">configuration </w:t>
      </w:r>
      <w:r w:rsidR="00691656">
        <w:rPr>
          <w:rStyle w:val="IvDbodytextChar"/>
          <w:i w:val="0"/>
          <w:color w:val="auto"/>
          <w:sz w:val="20"/>
          <w:szCs w:val="20"/>
        </w:rPr>
        <w:t xml:space="preserve">of the SCG SRB can </w:t>
      </w:r>
      <w:r w:rsidR="00202C06">
        <w:rPr>
          <w:rStyle w:val="IvDbodytextChar"/>
          <w:i w:val="0"/>
          <w:color w:val="auto"/>
          <w:sz w:val="20"/>
          <w:szCs w:val="20"/>
        </w:rPr>
        <w:t xml:space="preserve">thus also </w:t>
      </w:r>
      <w:r w:rsidR="00691656">
        <w:rPr>
          <w:rStyle w:val="IvDbodytextChar"/>
          <w:i w:val="0"/>
          <w:color w:val="auto"/>
          <w:sz w:val="20"/>
          <w:szCs w:val="20"/>
        </w:rPr>
        <w:t>be included in the</w:t>
      </w:r>
      <w:r w:rsidR="00202C06">
        <w:rPr>
          <w:rStyle w:val="IvDbodytextChar"/>
          <w:i w:val="0"/>
          <w:color w:val="auto"/>
          <w:sz w:val="20"/>
          <w:szCs w:val="20"/>
        </w:rPr>
        <w:t xml:space="preserve"> </w:t>
      </w:r>
      <w:r w:rsidR="00202C06" w:rsidRPr="00202C06">
        <w:rPr>
          <w:rStyle w:val="IvDbodytextChar"/>
          <w:color w:val="auto"/>
          <w:sz w:val="20"/>
          <w:szCs w:val="20"/>
        </w:rPr>
        <w:t>SCG-Config</w:t>
      </w:r>
      <w:r w:rsidR="00202C06">
        <w:rPr>
          <w:rStyle w:val="IvDbodytextChar"/>
          <w:i w:val="0"/>
          <w:color w:val="auto"/>
          <w:sz w:val="20"/>
          <w:szCs w:val="20"/>
        </w:rPr>
        <w:t xml:space="preserve"> and passed transparently to the UE in the </w:t>
      </w:r>
      <w:r w:rsidR="00202C06" w:rsidRPr="00C1427C">
        <w:rPr>
          <w:rStyle w:val="IvDbodytextChar"/>
          <w:color w:val="auto"/>
          <w:sz w:val="20"/>
          <w:szCs w:val="20"/>
        </w:rPr>
        <w:t>RRCConnectionReconfiguration</w:t>
      </w:r>
      <w:r w:rsidR="00202C06">
        <w:rPr>
          <w:rStyle w:val="IvDbodytextChar"/>
          <w:i w:val="0"/>
          <w:color w:val="auto"/>
          <w:sz w:val="20"/>
          <w:szCs w:val="20"/>
        </w:rPr>
        <w:t xml:space="preserve"> message.</w:t>
      </w:r>
    </w:p>
    <w:p w14:paraId="24F5815B" w14:textId="77777777" w:rsidR="00202C06" w:rsidRPr="00691656" w:rsidRDefault="00202C06" w:rsidP="00A404C6">
      <w:pPr>
        <w:pStyle w:val="IvDInstructiontext"/>
        <w:rPr>
          <w:rStyle w:val="IvDbodytextChar"/>
          <w:i w:val="0"/>
          <w:color w:val="auto"/>
          <w:sz w:val="20"/>
          <w:szCs w:val="20"/>
        </w:rPr>
      </w:pPr>
    </w:p>
    <w:p w14:paraId="21348409" w14:textId="6BDB60CE" w:rsidR="004D240B" w:rsidRDefault="004D240B" w:rsidP="00A404C6">
      <w:pPr>
        <w:pStyle w:val="IvDInstructiontext"/>
        <w:rPr>
          <w:rStyle w:val="IvDbodytextChar"/>
          <w:i w:val="0"/>
          <w:color w:val="auto"/>
          <w:sz w:val="20"/>
          <w:szCs w:val="20"/>
        </w:rPr>
      </w:pPr>
      <w:r w:rsidRPr="005132EF">
        <w:object w:dxaOrig="10259" w:dyaOrig="5969" w14:anchorId="06B1B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25pt" o:ole="">
            <v:imagedata r:id="rId14" o:title=""/>
          </v:shape>
          <o:OLEObject Type="Embed" ProgID="Visio.Drawing.11" ShapeID="_x0000_i1025" DrawAspect="Content" ObjectID="_1555506671" r:id="rId15"/>
        </w:object>
      </w:r>
    </w:p>
    <w:p w14:paraId="71448A74" w14:textId="4301E639" w:rsidR="00611BDC" w:rsidRDefault="004D240B" w:rsidP="004D240B">
      <w:pPr>
        <w:pStyle w:val="Caption"/>
        <w:rPr>
          <w:rStyle w:val="IvDbodytextChar"/>
          <w:i/>
        </w:rPr>
      </w:pPr>
      <w:r>
        <w:t>Figure 1: SN addition procedure in LTE DC (taken from TS 36.300)</w:t>
      </w:r>
    </w:p>
    <w:p w14:paraId="18AF2710" w14:textId="43893178" w:rsidR="007D4274" w:rsidRDefault="007D4274" w:rsidP="007D4274">
      <w:pPr>
        <w:pStyle w:val="Proposal"/>
        <w:numPr>
          <w:ilvl w:val="0"/>
          <w:numId w:val="30"/>
        </w:numPr>
      </w:pPr>
      <w:r>
        <w:t xml:space="preserve">The Rel-12 SN addition procedure can be applied for the setup of the SCG SRB by including the SRB configuration in the SCG-Config that is sent from the SN to the MN. </w:t>
      </w:r>
      <w:r w:rsidR="00804F13">
        <w:t>The details are FFS.</w:t>
      </w:r>
    </w:p>
    <w:p w14:paraId="0E811F26" w14:textId="1BC72406" w:rsidR="00691656" w:rsidRDefault="00202C06" w:rsidP="00C1427C">
      <w:pPr>
        <w:pStyle w:val="IvDInstructiontext"/>
        <w:rPr>
          <w:rStyle w:val="IvDbodytextChar"/>
          <w:i w:val="0"/>
          <w:color w:val="auto"/>
          <w:sz w:val="20"/>
          <w:szCs w:val="20"/>
        </w:rPr>
      </w:pPr>
      <w:r>
        <w:rPr>
          <w:rStyle w:val="IvDbodytextChar"/>
          <w:i w:val="0"/>
          <w:color w:val="auto"/>
          <w:sz w:val="20"/>
          <w:szCs w:val="20"/>
        </w:rPr>
        <w:t>Figure 2 show</w:t>
      </w:r>
      <w:r w:rsidR="0096795F">
        <w:rPr>
          <w:rStyle w:val="IvDbodytextChar"/>
          <w:i w:val="0"/>
          <w:color w:val="auto"/>
          <w:sz w:val="20"/>
          <w:szCs w:val="20"/>
        </w:rPr>
        <w:t>s</w:t>
      </w:r>
      <w:r>
        <w:rPr>
          <w:rStyle w:val="IvDbodytextChar"/>
          <w:i w:val="0"/>
          <w:color w:val="auto"/>
          <w:sz w:val="20"/>
          <w:szCs w:val="20"/>
        </w:rPr>
        <w:t xml:space="preserve"> the SN modification procedure in LTE DC. </w:t>
      </w:r>
      <w:r w:rsidR="007D4274">
        <w:rPr>
          <w:rStyle w:val="IvDbodytextChar"/>
          <w:i w:val="0"/>
          <w:color w:val="auto"/>
          <w:sz w:val="20"/>
          <w:szCs w:val="20"/>
        </w:rPr>
        <w:t>Regarding</w:t>
      </w:r>
      <w:r>
        <w:rPr>
          <w:rStyle w:val="IvDbodytextChar"/>
          <w:i w:val="0"/>
          <w:color w:val="auto"/>
          <w:sz w:val="20"/>
          <w:szCs w:val="20"/>
        </w:rPr>
        <w:t xml:space="preserve"> the SCG SRB configuration, the situation is </w:t>
      </w:r>
      <w:r w:rsidR="007D4274">
        <w:rPr>
          <w:rStyle w:val="IvDbodytextChar"/>
          <w:i w:val="0"/>
          <w:color w:val="auto"/>
          <w:sz w:val="20"/>
          <w:szCs w:val="20"/>
        </w:rPr>
        <w:t xml:space="preserve">like the SN addition procedure, except here that the SCG SRB can either be added (if it was not in SN addition) or released (if it was configured in </w:t>
      </w:r>
      <w:r w:rsidR="0096795F">
        <w:rPr>
          <w:rStyle w:val="IvDbodytextChar"/>
          <w:i w:val="0"/>
          <w:color w:val="auto"/>
          <w:sz w:val="20"/>
          <w:szCs w:val="20"/>
        </w:rPr>
        <w:t xml:space="preserve">the </w:t>
      </w:r>
      <w:r w:rsidR="007D4274">
        <w:rPr>
          <w:rStyle w:val="IvDbodytextChar"/>
          <w:i w:val="0"/>
          <w:color w:val="auto"/>
          <w:sz w:val="20"/>
          <w:szCs w:val="20"/>
        </w:rPr>
        <w:t xml:space="preserve">SN addition). </w:t>
      </w:r>
    </w:p>
    <w:p w14:paraId="7F5A9495" w14:textId="77777777" w:rsidR="00691656" w:rsidRPr="005132EF" w:rsidRDefault="00691656" w:rsidP="00691656">
      <w:pPr>
        <w:pStyle w:val="TH"/>
      </w:pPr>
      <w:r w:rsidRPr="005132EF">
        <w:object w:dxaOrig="10259" w:dyaOrig="5598" w14:anchorId="3182BB5C">
          <v:shape id="_x0000_i1026" type="#_x0000_t75" style="width:6in;height:235.5pt" o:ole="">
            <v:imagedata r:id="rId16" o:title=""/>
          </v:shape>
          <o:OLEObject Type="Embed" ProgID="Visio.Drawing.11" ShapeID="_x0000_i1026" DrawAspect="Content" ObjectID="_1555506672" r:id="rId17"/>
        </w:object>
      </w:r>
    </w:p>
    <w:p w14:paraId="51030200" w14:textId="2788D79B" w:rsidR="00691656" w:rsidRPr="005132EF" w:rsidRDefault="00202C06" w:rsidP="00691656">
      <w:pPr>
        <w:pStyle w:val="TF"/>
        <w:rPr>
          <w:lang w:eastAsia="ja-JP"/>
        </w:rPr>
      </w:pPr>
      <w:r>
        <w:rPr>
          <w:lang w:eastAsia="ja-JP"/>
        </w:rPr>
        <w:t xml:space="preserve">Figure </w:t>
      </w:r>
      <w:r w:rsidR="00691656" w:rsidRPr="005132EF">
        <w:rPr>
          <w:lang w:eastAsia="ja-JP"/>
        </w:rPr>
        <w:t xml:space="preserve">2: SN Modification procedure </w:t>
      </w:r>
      <w:r>
        <w:rPr>
          <w:lang w:eastAsia="ja-JP"/>
        </w:rPr>
        <w:t>(taken from TS 36.300)</w:t>
      </w:r>
    </w:p>
    <w:p w14:paraId="2CD4E5E4" w14:textId="59E50A72" w:rsidR="007D4274" w:rsidRDefault="007D4274" w:rsidP="007D4274">
      <w:pPr>
        <w:pStyle w:val="Proposal"/>
        <w:numPr>
          <w:ilvl w:val="0"/>
          <w:numId w:val="30"/>
        </w:numPr>
      </w:pPr>
      <w:r>
        <w:t xml:space="preserve">The Rel-12 SN modification procedure can be applied for the addition or release of the SCG SRB by including the SRB configuration in the SCG-Config that is sent from the SN to the MN. </w:t>
      </w:r>
      <w:r w:rsidR="00804F13">
        <w:t>The details are FFS.</w:t>
      </w:r>
    </w:p>
    <w:p w14:paraId="267E52B9" w14:textId="6CBE4143" w:rsidR="00691656" w:rsidRDefault="00691656" w:rsidP="00691656">
      <w:pPr>
        <w:pStyle w:val="Proposal"/>
        <w:numPr>
          <w:ilvl w:val="0"/>
          <w:numId w:val="0"/>
        </w:numPr>
      </w:pPr>
    </w:p>
    <w:p w14:paraId="5D502FB8" w14:textId="77777777" w:rsidR="00C01F33" w:rsidRPr="00CE0424" w:rsidRDefault="00C01F33" w:rsidP="00CE0424">
      <w:pPr>
        <w:pStyle w:val="Heading1"/>
      </w:pPr>
      <w:r w:rsidRPr="00CE0424">
        <w:t>Conclusion</w:t>
      </w:r>
    </w:p>
    <w:p w14:paraId="3EF02D9D" w14:textId="56DF5438" w:rsidR="007D4274" w:rsidRDefault="000A2134" w:rsidP="00311702">
      <w:r>
        <w:t xml:space="preserve">In this </w:t>
      </w:r>
      <w:r w:rsidR="00A72A12">
        <w:t xml:space="preserve">contribution, we have discussed the </w:t>
      </w:r>
      <w:r w:rsidR="007D4274">
        <w:t>setup of the SCG SRB and we propose:</w:t>
      </w:r>
    </w:p>
    <w:p w14:paraId="50AED49D" w14:textId="77777777" w:rsidR="00F147C3" w:rsidRDefault="00F147C3" w:rsidP="00311702"/>
    <w:p w14:paraId="3666CED7" w14:textId="03331384" w:rsidR="007D4274" w:rsidRDefault="007D2750" w:rsidP="00F147C3">
      <w:pPr>
        <w:pStyle w:val="Proposal"/>
        <w:numPr>
          <w:ilvl w:val="0"/>
          <w:numId w:val="33"/>
        </w:numPr>
      </w:pPr>
      <w:r>
        <w:t xml:space="preserve">The SCG SRB </w:t>
      </w:r>
      <w:r w:rsidRPr="007D2750">
        <w:t xml:space="preserve">addition is decided by </w:t>
      </w:r>
      <w:r w:rsidR="0034096E">
        <w:t xml:space="preserve">the </w:t>
      </w:r>
      <w:bookmarkStart w:id="1" w:name="_GoBack"/>
      <w:bookmarkEnd w:id="1"/>
      <w:r w:rsidRPr="007D2750">
        <w:t xml:space="preserve">SN </w:t>
      </w:r>
      <w:r>
        <w:t xml:space="preserve">and its </w:t>
      </w:r>
      <w:r w:rsidR="00F147C3">
        <w:t>configuration and usage i</w:t>
      </w:r>
      <w:r w:rsidR="007D4274">
        <w:t>s completely transparent to the MN.</w:t>
      </w:r>
    </w:p>
    <w:p w14:paraId="5F3F2BC7" w14:textId="349F4207" w:rsidR="007D4274" w:rsidRDefault="007D4274" w:rsidP="007D4274">
      <w:pPr>
        <w:pStyle w:val="Proposal"/>
        <w:numPr>
          <w:ilvl w:val="0"/>
          <w:numId w:val="30"/>
        </w:numPr>
      </w:pPr>
      <w:r>
        <w:t>The Rel-12 SN addition procedure can be applied for the setup of the SCG SRB by including the SRB configuration in the SCG-Config that is sent from the SN to the MN.</w:t>
      </w:r>
      <w:r w:rsidR="00804F13">
        <w:t xml:space="preserve"> The details are FFS.</w:t>
      </w:r>
      <w:r>
        <w:t xml:space="preserve"> </w:t>
      </w:r>
    </w:p>
    <w:p w14:paraId="24E8CCAA" w14:textId="54BE56F8" w:rsidR="007D4274" w:rsidRDefault="007D4274" w:rsidP="007D4274">
      <w:pPr>
        <w:pStyle w:val="Proposal"/>
        <w:numPr>
          <w:ilvl w:val="0"/>
          <w:numId w:val="30"/>
        </w:numPr>
      </w:pPr>
      <w:r>
        <w:t xml:space="preserve">The Rel-12 SN modification procedure can be applied for the addition or release of the SCG SRB by including the SRB configuration in the SCG-Config that is sent from the SN to the MN. </w:t>
      </w:r>
      <w:r w:rsidR="00804F13">
        <w:t>The details are FFS.</w:t>
      </w:r>
    </w:p>
    <w:p w14:paraId="6A914213" w14:textId="77777777" w:rsidR="007D4274" w:rsidRDefault="007D4274" w:rsidP="007D4274">
      <w:pPr>
        <w:pStyle w:val="Proposal"/>
        <w:numPr>
          <w:ilvl w:val="0"/>
          <w:numId w:val="0"/>
        </w:numPr>
        <w:ind w:left="1304"/>
      </w:pPr>
    </w:p>
    <w:sectPr w:rsidR="007D427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6A53E" w14:textId="77777777" w:rsidR="00481CE2" w:rsidRDefault="00481CE2">
      <w:r>
        <w:separator/>
      </w:r>
    </w:p>
  </w:endnote>
  <w:endnote w:type="continuationSeparator" w:id="0">
    <w:p w14:paraId="1144412F" w14:textId="77777777" w:rsidR="00481CE2" w:rsidRDefault="00481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5F48" w14:textId="117ABA6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096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096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D9A08" w14:textId="77777777" w:rsidR="00481CE2" w:rsidRDefault="00481CE2">
      <w:r>
        <w:separator/>
      </w:r>
    </w:p>
  </w:footnote>
  <w:footnote w:type="continuationSeparator" w:id="0">
    <w:p w14:paraId="578BD204" w14:textId="77777777" w:rsidR="00481CE2" w:rsidRDefault="00481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0F53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040766"/>
    <w:multiLevelType w:val="hybridMultilevel"/>
    <w:tmpl w:val="1BC49DDE"/>
    <w:lvl w:ilvl="0" w:tplc="C31A303E">
      <w:start w:val="1"/>
      <w:numFmt w:val="bullet"/>
      <w:lvlText w:val="›"/>
      <w:lvlJc w:val="left"/>
      <w:pPr>
        <w:tabs>
          <w:tab w:val="num" w:pos="720"/>
        </w:tabs>
        <w:ind w:left="720" w:hanging="360"/>
      </w:pPr>
      <w:rPr>
        <w:rFonts w:ascii="Arial" w:hAnsi="Arial" w:hint="default"/>
      </w:rPr>
    </w:lvl>
    <w:lvl w:ilvl="1" w:tplc="1748AC70" w:tentative="1">
      <w:start w:val="1"/>
      <w:numFmt w:val="bullet"/>
      <w:lvlText w:val="›"/>
      <w:lvlJc w:val="left"/>
      <w:pPr>
        <w:tabs>
          <w:tab w:val="num" w:pos="1440"/>
        </w:tabs>
        <w:ind w:left="1440" w:hanging="360"/>
      </w:pPr>
      <w:rPr>
        <w:rFonts w:ascii="Arial" w:hAnsi="Arial" w:hint="default"/>
      </w:rPr>
    </w:lvl>
    <w:lvl w:ilvl="2" w:tplc="AF7A536A" w:tentative="1">
      <w:start w:val="1"/>
      <w:numFmt w:val="bullet"/>
      <w:lvlText w:val="›"/>
      <w:lvlJc w:val="left"/>
      <w:pPr>
        <w:tabs>
          <w:tab w:val="num" w:pos="2160"/>
        </w:tabs>
        <w:ind w:left="2160" w:hanging="360"/>
      </w:pPr>
      <w:rPr>
        <w:rFonts w:ascii="Arial" w:hAnsi="Arial" w:hint="default"/>
      </w:rPr>
    </w:lvl>
    <w:lvl w:ilvl="3" w:tplc="83F48B3A" w:tentative="1">
      <w:start w:val="1"/>
      <w:numFmt w:val="bullet"/>
      <w:lvlText w:val="›"/>
      <w:lvlJc w:val="left"/>
      <w:pPr>
        <w:tabs>
          <w:tab w:val="num" w:pos="2880"/>
        </w:tabs>
        <w:ind w:left="2880" w:hanging="360"/>
      </w:pPr>
      <w:rPr>
        <w:rFonts w:ascii="Arial" w:hAnsi="Arial" w:hint="default"/>
      </w:rPr>
    </w:lvl>
    <w:lvl w:ilvl="4" w:tplc="C2CE04A4" w:tentative="1">
      <w:start w:val="1"/>
      <w:numFmt w:val="bullet"/>
      <w:lvlText w:val="›"/>
      <w:lvlJc w:val="left"/>
      <w:pPr>
        <w:tabs>
          <w:tab w:val="num" w:pos="3600"/>
        </w:tabs>
        <w:ind w:left="3600" w:hanging="360"/>
      </w:pPr>
      <w:rPr>
        <w:rFonts w:ascii="Arial" w:hAnsi="Arial" w:hint="default"/>
      </w:rPr>
    </w:lvl>
    <w:lvl w:ilvl="5" w:tplc="4E1036DE" w:tentative="1">
      <w:start w:val="1"/>
      <w:numFmt w:val="bullet"/>
      <w:lvlText w:val="›"/>
      <w:lvlJc w:val="left"/>
      <w:pPr>
        <w:tabs>
          <w:tab w:val="num" w:pos="4320"/>
        </w:tabs>
        <w:ind w:left="4320" w:hanging="360"/>
      </w:pPr>
      <w:rPr>
        <w:rFonts w:ascii="Arial" w:hAnsi="Arial" w:hint="default"/>
      </w:rPr>
    </w:lvl>
    <w:lvl w:ilvl="6" w:tplc="542A50A6" w:tentative="1">
      <w:start w:val="1"/>
      <w:numFmt w:val="bullet"/>
      <w:lvlText w:val="›"/>
      <w:lvlJc w:val="left"/>
      <w:pPr>
        <w:tabs>
          <w:tab w:val="num" w:pos="5040"/>
        </w:tabs>
        <w:ind w:left="5040" w:hanging="360"/>
      </w:pPr>
      <w:rPr>
        <w:rFonts w:ascii="Arial" w:hAnsi="Arial" w:hint="default"/>
      </w:rPr>
    </w:lvl>
    <w:lvl w:ilvl="7" w:tplc="845C5026" w:tentative="1">
      <w:start w:val="1"/>
      <w:numFmt w:val="bullet"/>
      <w:lvlText w:val="›"/>
      <w:lvlJc w:val="left"/>
      <w:pPr>
        <w:tabs>
          <w:tab w:val="num" w:pos="5760"/>
        </w:tabs>
        <w:ind w:left="5760" w:hanging="360"/>
      </w:pPr>
      <w:rPr>
        <w:rFonts w:ascii="Arial" w:hAnsi="Arial" w:hint="default"/>
      </w:rPr>
    </w:lvl>
    <w:lvl w:ilvl="8" w:tplc="4184BC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A65FB"/>
    <w:multiLevelType w:val="hybridMultilevel"/>
    <w:tmpl w:val="335E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725186"/>
    <w:multiLevelType w:val="hybridMultilevel"/>
    <w:tmpl w:val="93F8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00A89"/>
    <w:multiLevelType w:val="hybridMultilevel"/>
    <w:tmpl w:val="B592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931B7"/>
    <w:multiLevelType w:val="hybridMultilevel"/>
    <w:tmpl w:val="091CEDF0"/>
    <w:lvl w:ilvl="0" w:tplc="BB066EE6">
      <w:start w:val="1"/>
      <w:numFmt w:val="bullet"/>
      <w:lvlText w:val="›"/>
      <w:lvlJc w:val="left"/>
      <w:pPr>
        <w:tabs>
          <w:tab w:val="num" w:pos="720"/>
        </w:tabs>
        <w:ind w:left="720" w:hanging="360"/>
      </w:pPr>
      <w:rPr>
        <w:rFonts w:ascii="Arial" w:hAnsi="Arial" w:hint="default"/>
      </w:rPr>
    </w:lvl>
    <w:lvl w:ilvl="1" w:tplc="F4366F1A" w:tentative="1">
      <w:start w:val="1"/>
      <w:numFmt w:val="bullet"/>
      <w:lvlText w:val="›"/>
      <w:lvlJc w:val="left"/>
      <w:pPr>
        <w:tabs>
          <w:tab w:val="num" w:pos="1440"/>
        </w:tabs>
        <w:ind w:left="1440" w:hanging="360"/>
      </w:pPr>
      <w:rPr>
        <w:rFonts w:ascii="Arial" w:hAnsi="Arial" w:hint="default"/>
      </w:rPr>
    </w:lvl>
    <w:lvl w:ilvl="2" w:tplc="A2AE585C" w:tentative="1">
      <w:start w:val="1"/>
      <w:numFmt w:val="bullet"/>
      <w:lvlText w:val="›"/>
      <w:lvlJc w:val="left"/>
      <w:pPr>
        <w:tabs>
          <w:tab w:val="num" w:pos="2160"/>
        </w:tabs>
        <w:ind w:left="2160" w:hanging="360"/>
      </w:pPr>
      <w:rPr>
        <w:rFonts w:ascii="Arial" w:hAnsi="Arial" w:hint="default"/>
      </w:rPr>
    </w:lvl>
    <w:lvl w:ilvl="3" w:tplc="4C1EA398" w:tentative="1">
      <w:start w:val="1"/>
      <w:numFmt w:val="bullet"/>
      <w:lvlText w:val="›"/>
      <w:lvlJc w:val="left"/>
      <w:pPr>
        <w:tabs>
          <w:tab w:val="num" w:pos="2880"/>
        </w:tabs>
        <w:ind w:left="2880" w:hanging="360"/>
      </w:pPr>
      <w:rPr>
        <w:rFonts w:ascii="Arial" w:hAnsi="Arial" w:hint="default"/>
      </w:rPr>
    </w:lvl>
    <w:lvl w:ilvl="4" w:tplc="684CA29E" w:tentative="1">
      <w:start w:val="1"/>
      <w:numFmt w:val="bullet"/>
      <w:lvlText w:val="›"/>
      <w:lvlJc w:val="left"/>
      <w:pPr>
        <w:tabs>
          <w:tab w:val="num" w:pos="3600"/>
        </w:tabs>
        <w:ind w:left="3600" w:hanging="360"/>
      </w:pPr>
      <w:rPr>
        <w:rFonts w:ascii="Arial" w:hAnsi="Arial" w:hint="default"/>
      </w:rPr>
    </w:lvl>
    <w:lvl w:ilvl="5" w:tplc="FF261FE2" w:tentative="1">
      <w:start w:val="1"/>
      <w:numFmt w:val="bullet"/>
      <w:lvlText w:val="›"/>
      <w:lvlJc w:val="left"/>
      <w:pPr>
        <w:tabs>
          <w:tab w:val="num" w:pos="4320"/>
        </w:tabs>
        <w:ind w:left="4320" w:hanging="360"/>
      </w:pPr>
      <w:rPr>
        <w:rFonts w:ascii="Arial" w:hAnsi="Arial" w:hint="default"/>
      </w:rPr>
    </w:lvl>
    <w:lvl w:ilvl="6" w:tplc="684CC936" w:tentative="1">
      <w:start w:val="1"/>
      <w:numFmt w:val="bullet"/>
      <w:lvlText w:val="›"/>
      <w:lvlJc w:val="left"/>
      <w:pPr>
        <w:tabs>
          <w:tab w:val="num" w:pos="5040"/>
        </w:tabs>
        <w:ind w:left="5040" w:hanging="360"/>
      </w:pPr>
      <w:rPr>
        <w:rFonts w:ascii="Arial" w:hAnsi="Arial" w:hint="default"/>
      </w:rPr>
    </w:lvl>
    <w:lvl w:ilvl="7" w:tplc="909C28B8" w:tentative="1">
      <w:start w:val="1"/>
      <w:numFmt w:val="bullet"/>
      <w:lvlText w:val="›"/>
      <w:lvlJc w:val="left"/>
      <w:pPr>
        <w:tabs>
          <w:tab w:val="num" w:pos="5760"/>
        </w:tabs>
        <w:ind w:left="5760" w:hanging="360"/>
      </w:pPr>
      <w:rPr>
        <w:rFonts w:ascii="Arial" w:hAnsi="Arial" w:hint="default"/>
      </w:rPr>
    </w:lvl>
    <w:lvl w:ilvl="8" w:tplc="7AB614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F350D1"/>
    <w:multiLevelType w:val="hybridMultilevel"/>
    <w:tmpl w:val="3134F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DF6222"/>
    <w:multiLevelType w:val="hybridMultilevel"/>
    <w:tmpl w:val="623AD19A"/>
    <w:lvl w:ilvl="0" w:tplc="E5D48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13"/>
  </w:num>
  <w:num w:numId="17">
    <w:abstractNumId w:val="22"/>
  </w:num>
  <w:num w:numId="18">
    <w:abstractNumId w:val="24"/>
  </w:num>
  <w:num w:numId="19">
    <w:abstractNumId w:val="10"/>
  </w:num>
  <w:num w:numId="20">
    <w:abstractNumId w:val="16"/>
    <w:lvlOverride w:ilvl="0">
      <w:startOverride w:val="1"/>
    </w:lvlOverride>
  </w:num>
  <w:num w:numId="21">
    <w:abstractNumId w:val="11"/>
    <w:lvlOverride w:ilvl="0">
      <w:startOverride w:val="1"/>
    </w:lvlOverride>
  </w:num>
  <w:num w:numId="22">
    <w:abstractNumId w:val="17"/>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6"/>
  </w:num>
  <w:num w:numId="26">
    <w:abstractNumId w:val="19"/>
  </w:num>
  <w:num w:numId="27">
    <w:abstractNumId w:val="16"/>
    <w:lvlOverride w:ilvl="0">
      <w:startOverride w:val="1"/>
    </w:lvlOverride>
  </w:num>
  <w:num w:numId="28">
    <w:abstractNumId w:val="11"/>
    <w:lvlOverride w:ilvl="0">
      <w:startOverride w:val="1"/>
    </w:lvlOverride>
  </w:num>
  <w:num w:numId="29">
    <w:abstractNumId w:val="16"/>
    <w:lvlOverride w:ilvl="0">
      <w:startOverride w:val="1"/>
    </w:lvlOverride>
  </w:num>
  <w:num w:numId="30">
    <w:abstractNumId w:val="11"/>
    <w:lvlOverride w:ilvl="0">
      <w:startOverride w:val="1"/>
    </w:lvlOverride>
  </w:num>
  <w:num w:numId="31">
    <w:abstractNumId w:val="23"/>
  </w:num>
  <w:num w:numId="32">
    <w:abstractNumId w:val="25"/>
  </w:num>
  <w:num w:numId="33">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4C6"/>
    <w:rsid w:val="000006E1"/>
    <w:rsid w:val="00002A37"/>
    <w:rsid w:val="000039F4"/>
    <w:rsid w:val="00004C8E"/>
    <w:rsid w:val="00006446"/>
    <w:rsid w:val="00006896"/>
    <w:rsid w:val="00007CDC"/>
    <w:rsid w:val="0001129C"/>
    <w:rsid w:val="00011B28"/>
    <w:rsid w:val="00015D15"/>
    <w:rsid w:val="0002564D"/>
    <w:rsid w:val="00025ECA"/>
    <w:rsid w:val="000325B8"/>
    <w:rsid w:val="00034C15"/>
    <w:rsid w:val="00036BA1"/>
    <w:rsid w:val="00037468"/>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227"/>
    <w:rsid w:val="000A1B7B"/>
    <w:rsid w:val="000A2134"/>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6E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47A"/>
    <w:rsid w:val="001D51BA"/>
    <w:rsid w:val="001D6342"/>
    <w:rsid w:val="001D6D53"/>
    <w:rsid w:val="001E58E2"/>
    <w:rsid w:val="001E7AED"/>
    <w:rsid w:val="001F118E"/>
    <w:rsid w:val="001F3916"/>
    <w:rsid w:val="001F54C5"/>
    <w:rsid w:val="001F662C"/>
    <w:rsid w:val="001F7074"/>
    <w:rsid w:val="00200490"/>
    <w:rsid w:val="00201F3A"/>
    <w:rsid w:val="00202C06"/>
    <w:rsid w:val="00203F96"/>
    <w:rsid w:val="002069B2"/>
    <w:rsid w:val="00207FA3"/>
    <w:rsid w:val="00214DA8"/>
    <w:rsid w:val="00215423"/>
    <w:rsid w:val="002158FA"/>
    <w:rsid w:val="00220600"/>
    <w:rsid w:val="002224DB"/>
    <w:rsid w:val="00223FCB"/>
    <w:rsid w:val="002252C3"/>
    <w:rsid w:val="00225C54"/>
    <w:rsid w:val="00230765"/>
    <w:rsid w:val="002319E4"/>
    <w:rsid w:val="00232B18"/>
    <w:rsid w:val="00235632"/>
    <w:rsid w:val="00235872"/>
    <w:rsid w:val="00241559"/>
    <w:rsid w:val="002435B3"/>
    <w:rsid w:val="002458EB"/>
    <w:rsid w:val="002500C8"/>
    <w:rsid w:val="00256492"/>
    <w:rsid w:val="00257543"/>
    <w:rsid w:val="002617E7"/>
    <w:rsid w:val="00264228"/>
    <w:rsid w:val="00264334"/>
    <w:rsid w:val="0026473E"/>
    <w:rsid w:val="00265DE3"/>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FDD"/>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096E"/>
    <w:rsid w:val="00342BD7"/>
    <w:rsid w:val="00343A07"/>
    <w:rsid w:val="00346DB5"/>
    <w:rsid w:val="003477B1"/>
    <w:rsid w:val="00357380"/>
    <w:rsid w:val="003602D9"/>
    <w:rsid w:val="003604CE"/>
    <w:rsid w:val="00370E47"/>
    <w:rsid w:val="003742AC"/>
    <w:rsid w:val="00377CE1"/>
    <w:rsid w:val="00385BF0"/>
    <w:rsid w:val="003939FF"/>
    <w:rsid w:val="00397DF1"/>
    <w:rsid w:val="003A2223"/>
    <w:rsid w:val="003A2A0F"/>
    <w:rsid w:val="003A45A1"/>
    <w:rsid w:val="003A5B0A"/>
    <w:rsid w:val="003A6BAC"/>
    <w:rsid w:val="003A7EF3"/>
    <w:rsid w:val="003B0E81"/>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9F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CE2"/>
    <w:rsid w:val="00492BC5"/>
    <w:rsid w:val="004964F1"/>
    <w:rsid w:val="004A16BC"/>
    <w:rsid w:val="004A2B94"/>
    <w:rsid w:val="004B4389"/>
    <w:rsid w:val="004B7C0C"/>
    <w:rsid w:val="004C2DB9"/>
    <w:rsid w:val="004C3898"/>
    <w:rsid w:val="004D240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800"/>
    <w:rsid w:val="00534B59"/>
    <w:rsid w:val="00536759"/>
    <w:rsid w:val="00537C62"/>
    <w:rsid w:val="00546766"/>
    <w:rsid w:val="00546970"/>
    <w:rsid w:val="00554E19"/>
    <w:rsid w:val="0056121F"/>
    <w:rsid w:val="00572505"/>
    <w:rsid w:val="00582809"/>
    <w:rsid w:val="0058798C"/>
    <w:rsid w:val="005900FA"/>
    <w:rsid w:val="00590992"/>
    <w:rsid w:val="0059294A"/>
    <w:rsid w:val="005935A4"/>
    <w:rsid w:val="005948C2"/>
    <w:rsid w:val="00595DCA"/>
    <w:rsid w:val="00596B74"/>
    <w:rsid w:val="0059779B"/>
    <w:rsid w:val="005A006E"/>
    <w:rsid w:val="005A209A"/>
    <w:rsid w:val="005A662D"/>
    <w:rsid w:val="005A6BF8"/>
    <w:rsid w:val="005B35D7"/>
    <w:rsid w:val="005B392A"/>
    <w:rsid w:val="005B3AA3"/>
    <w:rsid w:val="005B591A"/>
    <w:rsid w:val="005B6F83"/>
    <w:rsid w:val="005C74FB"/>
    <w:rsid w:val="005D0157"/>
    <w:rsid w:val="005D1602"/>
    <w:rsid w:val="005E36E2"/>
    <w:rsid w:val="005E385F"/>
    <w:rsid w:val="005E5B81"/>
    <w:rsid w:val="005F2CB1"/>
    <w:rsid w:val="005F3025"/>
    <w:rsid w:val="005F618C"/>
    <w:rsid w:val="005F70BD"/>
    <w:rsid w:val="0060283C"/>
    <w:rsid w:val="00604F14"/>
    <w:rsid w:val="00611082"/>
    <w:rsid w:val="00611B83"/>
    <w:rsid w:val="00611BDC"/>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240"/>
    <w:rsid w:val="00650AB9"/>
    <w:rsid w:val="00655733"/>
    <w:rsid w:val="00655ACD"/>
    <w:rsid w:val="00656A92"/>
    <w:rsid w:val="00656DDE"/>
    <w:rsid w:val="0066011D"/>
    <w:rsid w:val="006607C0"/>
    <w:rsid w:val="006613A6"/>
    <w:rsid w:val="006627A2"/>
    <w:rsid w:val="006634E6"/>
    <w:rsid w:val="00664F1D"/>
    <w:rsid w:val="006655EE"/>
    <w:rsid w:val="00667EE7"/>
    <w:rsid w:val="00670922"/>
    <w:rsid w:val="00670BE1"/>
    <w:rsid w:val="0067218F"/>
    <w:rsid w:val="006741F2"/>
    <w:rsid w:val="00674CC3"/>
    <w:rsid w:val="00675C72"/>
    <w:rsid w:val="006771F9"/>
    <w:rsid w:val="006776D7"/>
    <w:rsid w:val="00681003"/>
    <w:rsid w:val="006817C9"/>
    <w:rsid w:val="00683ECE"/>
    <w:rsid w:val="0069165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627"/>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0F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649C"/>
    <w:rsid w:val="007A11C8"/>
    <w:rsid w:val="007A1CB3"/>
    <w:rsid w:val="007A306F"/>
    <w:rsid w:val="007A43A6"/>
    <w:rsid w:val="007A58A6"/>
    <w:rsid w:val="007B36BA"/>
    <w:rsid w:val="007B3D2D"/>
    <w:rsid w:val="007B50AE"/>
    <w:rsid w:val="007B51DF"/>
    <w:rsid w:val="007B6B5E"/>
    <w:rsid w:val="007C05DD"/>
    <w:rsid w:val="007C3D18"/>
    <w:rsid w:val="007C60BF"/>
    <w:rsid w:val="007C6A07"/>
    <w:rsid w:val="007C75A1"/>
    <w:rsid w:val="007C77A5"/>
    <w:rsid w:val="007D04E5"/>
    <w:rsid w:val="007D2750"/>
    <w:rsid w:val="007D4274"/>
    <w:rsid w:val="007D5901"/>
    <w:rsid w:val="007D7526"/>
    <w:rsid w:val="007E4610"/>
    <w:rsid w:val="007E4715"/>
    <w:rsid w:val="007E505B"/>
    <w:rsid w:val="007E7091"/>
    <w:rsid w:val="007F3E8F"/>
    <w:rsid w:val="00803FAE"/>
    <w:rsid w:val="00804F13"/>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E27"/>
    <w:rsid w:val="008677FD"/>
    <w:rsid w:val="008706D4"/>
    <w:rsid w:val="00870F8A"/>
    <w:rsid w:val="008719A4"/>
    <w:rsid w:val="00871D23"/>
    <w:rsid w:val="00874312"/>
    <w:rsid w:val="0087437C"/>
    <w:rsid w:val="00875CD7"/>
    <w:rsid w:val="00876B4D"/>
    <w:rsid w:val="00877F18"/>
    <w:rsid w:val="008941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750B"/>
    <w:rsid w:val="00910B7D"/>
    <w:rsid w:val="00911DFB"/>
    <w:rsid w:val="00912DC3"/>
    <w:rsid w:val="009139D9"/>
    <w:rsid w:val="00914AD8"/>
    <w:rsid w:val="00914DB8"/>
    <w:rsid w:val="00916079"/>
    <w:rsid w:val="00917CE9"/>
    <w:rsid w:val="00920BF2"/>
    <w:rsid w:val="00922010"/>
    <w:rsid w:val="00931BD9"/>
    <w:rsid w:val="00931D80"/>
    <w:rsid w:val="00934E8A"/>
    <w:rsid w:val="009368F3"/>
    <w:rsid w:val="00941636"/>
    <w:rsid w:val="00943742"/>
    <w:rsid w:val="00945715"/>
    <w:rsid w:val="00945C05"/>
    <w:rsid w:val="00946945"/>
    <w:rsid w:val="00947713"/>
    <w:rsid w:val="00950DE7"/>
    <w:rsid w:val="00952E6C"/>
    <w:rsid w:val="00953920"/>
    <w:rsid w:val="00953D47"/>
    <w:rsid w:val="0095681E"/>
    <w:rsid w:val="009572D4"/>
    <w:rsid w:val="00961921"/>
    <w:rsid w:val="0096430A"/>
    <w:rsid w:val="0096554B"/>
    <w:rsid w:val="0096584A"/>
    <w:rsid w:val="0096795F"/>
    <w:rsid w:val="00971F08"/>
    <w:rsid w:val="0097603D"/>
    <w:rsid w:val="00976949"/>
    <w:rsid w:val="00980477"/>
    <w:rsid w:val="0098056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4C6"/>
    <w:rsid w:val="00A41E2B"/>
    <w:rsid w:val="00A45B74"/>
    <w:rsid w:val="00A52E1D"/>
    <w:rsid w:val="00A61499"/>
    <w:rsid w:val="00A62A77"/>
    <w:rsid w:val="00A63483"/>
    <w:rsid w:val="00A657D7"/>
    <w:rsid w:val="00A660AC"/>
    <w:rsid w:val="00A66F55"/>
    <w:rsid w:val="00A67E6C"/>
    <w:rsid w:val="00A71B99"/>
    <w:rsid w:val="00A72A12"/>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397"/>
    <w:rsid w:val="00AE4DBA"/>
    <w:rsid w:val="00AE4F07"/>
    <w:rsid w:val="00AF0437"/>
    <w:rsid w:val="00AF1C5D"/>
    <w:rsid w:val="00AF42D7"/>
    <w:rsid w:val="00B006FE"/>
    <w:rsid w:val="00B007CB"/>
    <w:rsid w:val="00B02AA9"/>
    <w:rsid w:val="00B02FA3"/>
    <w:rsid w:val="00B05084"/>
    <w:rsid w:val="00B06B83"/>
    <w:rsid w:val="00B157F9"/>
    <w:rsid w:val="00B20256"/>
    <w:rsid w:val="00B20D09"/>
    <w:rsid w:val="00B2763F"/>
    <w:rsid w:val="00B27AAC"/>
    <w:rsid w:val="00B3073D"/>
    <w:rsid w:val="00B30929"/>
    <w:rsid w:val="00B372AA"/>
    <w:rsid w:val="00B40445"/>
    <w:rsid w:val="00B41888"/>
    <w:rsid w:val="00B45A52"/>
    <w:rsid w:val="00B46175"/>
    <w:rsid w:val="00B46294"/>
    <w:rsid w:val="00B6188F"/>
    <w:rsid w:val="00B664C7"/>
    <w:rsid w:val="00B739F6"/>
    <w:rsid w:val="00B81A6C"/>
    <w:rsid w:val="00B8447D"/>
    <w:rsid w:val="00B85DE5"/>
    <w:rsid w:val="00B90F73"/>
    <w:rsid w:val="00B91BF5"/>
    <w:rsid w:val="00B93B59"/>
    <w:rsid w:val="00B9406A"/>
    <w:rsid w:val="00BA2280"/>
    <w:rsid w:val="00BA2A08"/>
    <w:rsid w:val="00BA56D2"/>
    <w:rsid w:val="00BA76E0"/>
    <w:rsid w:val="00BB2A25"/>
    <w:rsid w:val="00BB51E9"/>
    <w:rsid w:val="00BC0FDC"/>
    <w:rsid w:val="00BC3053"/>
    <w:rsid w:val="00BC46E8"/>
    <w:rsid w:val="00BC4D2E"/>
    <w:rsid w:val="00BD48AC"/>
    <w:rsid w:val="00BD5F1A"/>
    <w:rsid w:val="00BE1234"/>
    <w:rsid w:val="00BE2FA6"/>
    <w:rsid w:val="00BE333F"/>
    <w:rsid w:val="00BE483A"/>
    <w:rsid w:val="00BE7406"/>
    <w:rsid w:val="00BE7603"/>
    <w:rsid w:val="00BF3279"/>
    <w:rsid w:val="00BF74C7"/>
    <w:rsid w:val="00C015F1"/>
    <w:rsid w:val="00C01F33"/>
    <w:rsid w:val="00C02CC6"/>
    <w:rsid w:val="00C040F7"/>
    <w:rsid w:val="00C041B0"/>
    <w:rsid w:val="00C0446C"/>
    <w:rsid w:val="00C044AB"/>
    <w:rsid w:val="00C05706"/>
    <w:rsid w:val="00C07377"/>
    <w:rsid w:val="00C10478"/>
    <w:rsid w:val="00C119CC"/>
    <w:rsid w:val="00C12107"/>
    <w:rsid w:val="00C1427C"/>
    <w:rsid w:val="00C14D4B"/>
    <w:rsid w:val="00C154BB"/>
    <w:rsid w:val="00C24345"/>
    <w:rsid w:val="00C279B5"/>
    <w:rsid w:val="00C27C45"/>
    <w:rsid w:val="00C3719D"/>
    <w:rsid w:val="00C50BF6"/>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8F3"/>
    <w:rsid w:val="00CB7170"/>
    <w:rsid w:val="00CC040E"/>
    <w:rsid w:val="00CC111F"/>
    <w:rsid w:val="00CC146C"/>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6BE"/>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AB5"/>
    <w:rsid w:val="00DC53EF"/>
    <w:rsid w:val="00DE5608"/>
    <w:rsid w:val="00DE58D0"/>
    <w:rsid w:val="00DE654F"/>
    <w:rsid w:val="00DE77EE"/>
    <w:rsid w:val="00DF0B6E"/>
    <w:rsid w:val="00DF15E0"/>
    <w:rsid w:val="00DF37A0"/>
    <w:rsid w:val="00E0397D"/>
    <w:rsid w:val="00E110E7"/>
    <w:rsid w:val="00E11B20"/>
    <w:rsid w:val="00E17FA2"/>
    <w:rsid w:val="00E22330"/>
    <w:rsid w:val="00E2672F"/>
    <w:rsid w:val="00E27897"/>
    <w:rsid w:val="00E30B5A"/>
    <w:rsid w:val="00E3123D"/>
    <w:rsid w:val="00E31461"/>
    <w:rsid w:val="00E31D43"/>
    <w:rsid w:val="00E32608"/>
    <w:rsid w:val="00E34188"/>
    <w:rsid w:val="00E34B6E"/>
    <w:rsid w:val="00E35559"/>
    <w:rsid w:val="00E36FB8"/>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099"/>
    <w:rsid w:val="00E90395"/>
    <w:rsid w:val="00E90E49"/>
    <w:rsid w:val="00E917F9"/>
    <w:rsid w:val="00E9291C"/>
    <w:rsid w:val="00E93FFE"/>
    <w:rsid w:val="00E94F8A"/>
    <w:rsid w:val="00EA7A41"/>
    <w:rsid w:val="00EB077B"/>
    <w:rsid w:val="00EB4EA2"/>
    <w:rsid w:val="00EC1467"/>
    <w:rsid w:val="00EC27C6"/>
    <w:rsid w:val="00EC4207"/>
    <w:rsid w:val="00EC5653"/>
    <w:rsid w:val="00EC71CE"/>
    <w:rsid w:val="00ED1006"/>
    <w:rsid w:val="00EF18FE"/>
    <w:rsid w:val="00EF1D59"/>
    <w:rsid w:val="00EF5787"/>
    <w:rsid w:val="00EF60D0"/>
    <w:rsid w:val="00F0528D"/>
    <w:rsid w:val="00F06C67"/>
    <w:rsid w:val="00F06DFD"/>
    <w:rsid w:val="00F071D1"/>
    <w:rsid w:val="00F07533"/>
    <w:rsid w:val="00F10629"/>
    <w:rsid w:val="00F147C3"/>
    <w:rsid w:val="00F14DCA"/>
    <w:rsid w:val="00F15FA5"/>
    <w:rsid w:val="00F209B7"/>
    <w:rsid w:val="00F2376F"/>
    <w:rsid w:val="00F243D8"/>
    <w:rsid w:val="00F30828"/>
    <w:rsid w:val="00F313D6"/>
    <w:rsid w:val="00F40F0C"/>
    <w:rsid w:val="00F4766C"/>
    <w:rsid w:val="00F507D1"/>
    <w:rsid w:val="00F5088B"/>
    <w:rsid w:val="00F519CE"/>
    <w:rsid w:val="00F51ADA"/>
    <w:rsid w:val="00F607C5"/>
    <w:rsid w:val="00F60DEA"/>
    <w:rsid w:val="00F6302A"/>
    <w:rsid w:val="00F64C2B"/>
    <w:rsid w:val="00F651BE"/>
    <w:rsid w:val="00F67F53"/>
    <w:rsid w:val="00F703BE"/>
    <w:rsid w:val="00F71F69"/>
    <w:rsid w:val="00F72B72"/>
    <w:rsid w:val="00F73D54"/>
    <w:rsid w:val="00F74BB9"/>
    <w:rsid w:val="00F75582"/>
    <w:rsid w:val="00F76EFA"/>
    <w:rsid w:val="00F804BE"/>
    <w:rsid w:val="00F815B7"/>
    <w:rsid w:val="00F81656"/>
    <w:rsid w:val="00F817CE"/>
    <w:rsid w:val="00F8456C"/>
    <w:rsid w:val="00F859D8"/>
    <w:rsid w:val="00F868F5"/>
    <w:rsid w:val="00F9056A"/>
    <w:rsid w:val="00F90F8D"/>
    <w:rsid w:val="00F92782"/>
    <w:rsid w:val="00F93AA9"/>
    <w:rsid w:val="00F96985"/>
    <w:rsid w:val="00F97838"/>
    <w:rsid w:val="00F97969"/>
    <w:rsid w:val="00FA2BB3"/>
    <w:rsid w:val="00FB4C80"/>
    <w:rsid w:val="00FB6A6A"/>
    <w:rsid w:val="00FC7429"/>
    <w:rsid w:val="00FD07F6"/>
    <w:rsid w:val="00FD1EC8"/>
    <w:rsid w:val="00FD47ED"/>
    <w:rsid w:val="00FD74DB"/>
    <w:rsid w:val="00FD7660"/>
    <w:rsid w:val="00FE0655"/>
    <w:rsid w:val="00FE074E"/>
    <w:rsid w:val="00FE125C"/>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82D67"/>
  <w15:docId w15:val="{687A8825-1DE7-46BE-9761-067013F56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B36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B36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B36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B36BA"/>
    <w:pPr>
      <w:numPr>
        <w:ilvl w:val="2"/>
      </w:numPr>
      <w:spacing w:before="120"/>
      <w:outlineLvl w:val="2"/>
    </w:pPr>
    <w:rPr>
      <w:sz w:val="28"/>
      <w:szCs w:val="28"/>
    </w:rPr>
  </w:style>
  <w:style w:type="paragraph" w:styleId="Heading4">
    <w:name w:val="heading 4"/>
    <w:basedOn w:val="Heading3"/>
    <w:next w:val="Normal"/>
    <w:qFormat/>
    <w:rsid w:val="007B36BA"/>
    <w:pPr>
      <w:numPr>
        <w:ilvl w:val="3"/>
      </w:numPr>
      <w:outlineLvl w:val="3"/>
    </w:pPr>
    <w:rPr>
      <w:sz w:val="24"/>
      <w:szCs w:val="24"/>
    </w:rPr>
  </w:style>
  <w:style w:type="paragraph" w:styleId="Heading5">
    <w:name w:val="heading 5"/>
    <w:basedOn w:val="Heading4"/>
    <w:next w:val="Normal"/>
    <w:qFormat/>
    <w:rsid w:val="007B36BA"/>
    <w:pPr>
      <w:numPr>
        <w:ilvl w:val="4"/>
      </w:numPr>
      <w:outlineLvl w:val="4"/>
    </w:pPr>
    <w:rPr>
      <w:sz w:val="22"/>
      <w:szCs w:val="22"/>
    </w:rPr>
  </w:style>
  <w:style w:type="paragraph" w:styleId="Heading6">
    <w:name w:val="heading 6"/>
    <w:basedOn w:val="Normal"/>
    <w:next w:val="Normal"/>
    <w:qFormat/>
    <w:rsid w:val="007B36BA"/>
    <w:pPr>
      <w:keepNext/>
      <w:keepLines/>
      <w:numPr>
        <w:ilvl w:val="5"/>
        <w:numId w:val="1"/>
      </w:numPr>
      <w:spacing w:before="120"/>
      <w:outlineLvl w:val="5"/>
    </w:pPr>
    <w:rPr>
      <w:rFonts w:cs="Arial"/>
    </w:rPr>
  </w:style>
  <w:style w:type="paragraph" w:styleId="Heading7">
    <w:name w:val="heading 7"/>
    <w:basedOn w:val="Normal"/>
    <w:next w:val="Normal"/>
    <w:qFormat/>
    <w:rsid w:val="007B36BA"/>
    <w:pPr>
      <w:keepNext/>
      <w:keepLines/>
      <w:numPr>
        <w:ilvl w:val="6"/>
        <w:numId w:val="1"/>
      </w:numPr>
      <w:spacing w:before="120"/>
      <w:outlineLvl w:val="6"/>
    </w:pPr>
    <w:rPr>
      <w:rFonts w:cs="Arial"/>
    </w:rPr>
  </w:style>
  <w:style w:type="paragraph" w:styleId="Heading8">
    <w:name w:val="heading 8"/>
    <w:basedOn w:val="Heading7"/>
    <w:next w:val="Normal"/>
    <w:qFormat/>
    <w:rsid w:val="007B36BA"/>
    <w:pPr>
      <w:numPr>
        <w:ilvl w:val="7"/>
      </w:numPr>
      <w:outlineLvl w:val="7"/>
    </w:pPr>
  </w:style>
  <w:style w:type="paragraph" w:styleId="Heading9">
    <w:name w:val="heading 9"/>
    <w:basedOn w:val="Heading8"/>
    <w:next w:val="Normal"/>
    <w:qFormat/>
    <w:rsid w:val="007B36BA"/>
    <w:pPr>
      <w:numPr>
        <w:ilvl w:val="8"/>
      </w:numPr>
      <w:outlineLvl w:val="8"/>
    </w:pPr>
  </w:style>
  <w:style w:type="character" w:default="1" w:styleId="DefaultParagraphFont">
    <w:name w:val="Default Paragraph Font"/>
    <w:uiPriority w:val="1"/>
    <w:semiHidden/>
    <w:unhideWhenUsed/>
    <w:rsid w:val="007B36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6BA"/>
  </w:style>
  <w:style w:type="paragraph" w:styleId="TOC8">
    <w:name w:val="toc 8"/>
    <w:basedOn w:val="TOC1"/>
    <w:semiHidden/>
    <w:rsid w:val="007B36BA"/>
    <w:pPr>
      <w:spacing w:before="180"/>
      <w:ind w:left="2693" w:hanging="2693"/>
    </w:pPr>
    <w:rPr>
      <w:b w:val="0"/>
      <w:bCs/>
    </w:rPr>
  </w:style>
  <w:style w:type="paragraph" w:styleId="TOC1">
    <w:name w:val="toc 1"/>
    <w:aliases w:val="Observation TOC2"/>
    <w:uiPriority w:val="39"/>
    <w:rsid w:val="007B36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B36BA"/>
    <w:pPr>
      <w:keepNext/>
      <w:keepLines/>
      <w:spacing w:before="180"/>
      <w:jc w:val="center"/>
    </w:pPr>
  </w:style>
  <w:style w:type="paragraph" w:styleId="Caption">
    <w:name w:val="caption"/>
    <w:basedOn w:val="Normal"/>
    <w:next w:val="Normal"/>
    <w:qFormat/>
    <w:rsid w:val="007B36BA"/>
    <w:pPr>
      <w:spacing w:after="240"/>
      <w:jc w:val="center"/>
    </w:pPr>
    <w:rPr>
      <w:b/>
      <w:bCs/>
    </w:rPr>
  </w:style>
  <w:style w:type="paragraph" w:styleId="TOC5">
    <w:name w:val="toc 5"/>
    <w:aliases w:val="Observation TOC"/>
    <w:basedOn w:val="TOC4"/>
    <w:semiHidden/>
    <w:rsid w:val="007B36BA"/>
    <w:pPr>
      <w:tabs>
        <w:tab w:val="right" w:pos="1701"/>
      </w:tabs>
      <w:ind w:left="1701" w:hanging="1701"/>
    </w:pPr>
  </w:style>
  <w:style w:type="paragraph" w:styleId="TOC4">
    <w:name w:val="toc 4"/>
    <w:basedOn w:val="TOC3"/>
    <w:semiHidden/>
    <w:rsid w:val="007B36BA"/>
    <w:pPr>
      <w:ind w:left="1418" w:hanging="1418"/>
    </w:pPr>
  </w:style>
  <w:style w:type="paragraph" w:styleId="TOC3">
    <w:name w:val="toc 3"/>
    <w:basedOn w:val="TOC2"/>
    <w:semiHidden/>
    <w:rsid w:val="007B36BA"/>
    <w:pPr>
      <w:ind w:left="1134" w:hanging="1134"/>
    </w:pPr>
  </w:style>
  <w:style w:type="paragraph" w:styleId="TOC2">
    <w:name w:val="toc 2"/>
    <w:basedOn w:val="TOC1"/>
    <w:semiHidden/>
    <w:rsid w:val="007B36BA"/>
    <w:pPr>
      <w:keepNext w:val="0"/>
      <w:spacing w:before="0"/>
      <w:ind w:left="851" w:hanging="851"/>
    </w:pPr>
    <w:rPr>
      <w:szCs w:val="20"/>
    </w:rPr>
  </w:style>
  <w:style w:type="paragraph" w:styleId="Index2">
    <w:name w:val="index 2"/>
    <w:basedOn w:val="Index1"/>
    <w:semiHidden/>
    <w:rsid w:val="007B36BA"/>
    <w:pPr>
      <w:ind w:left="284"/>
    </w:pPr>
  </w:style>
  <w:style w:type="paragraph" w:styleId="Index1">
    <w:name w:val="index 1"/>
    <w:basedOn w:val="Normal"/>
    <w:semiHidden/>
    <w:rsid w:val="007B36BA"/>
    <w:pPr>
      <w:keepLines/>
      <w:spacing w:after="0"/>
    </w:pPr>
  </w:style>
  <w:style w:type="paragraph" w:styleId="DocumentMap">
    <w:name w:val="Document Map"/>
    <w:basedOn w:val="Normal"/>
    <w:semiHidden/>
    <w:rsid w:val="007B36BA"/>
    <w:pPr>
      <w:shd w:val="clear" w:color="auto" w:fill="000080"/>
    </w:pPr>
    <w:rPr>
      <w:rFonts w:ascii="Tahoma" w:hAnsi="Tahoma" w:cs="Tahoma"/>
    </w:rPr>
  </w:style>
  <w:style w:type="paragraph" w:styleId="ListNumber2">
    <w:name w:val="List Number 2"/>
    <w:basedOn w:val="ListNumber"/>
    <w:rsid w:val="007B36BA"/>
    <w:pPr>
      <w:ind w:left="851"/>
    </w:pPr>
  </w:style>
  <w:style w:type="paragraph" w:styleId="ListNumber">
    <w:name w:val="List Number"/>
    <w:basedOn w:val="List"/>
    <w:rsid w:val="007B36BA"/>
  </w:style>
  <w:style w:type="paragraph" w:styleId="List">
    <w:name w:val="List"/>
    <w:basedOn w:val="Normal"/>
    <w:rsid w:val="007B36BA"/>
    <w:pPr>
      <w:ind w:left="568" w:hanging="284"/>
    </w:pPr>
  </w:style>
  <w:style w:type="paragraph" w:styleId="Header">
    <w:name w:val="header"/>
    <w:rsid w:val="007B36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B36BA"/>
    <w:rPr>
      <w:b/>
      <w:bCs/>
      <w:position w:val="6"/>
      <w:sz w:val="16"/>
      <w:szCs w:val="16"/>
    </w:rPr>
  </w:style>
  <w:style w:type="paragraph" w:styleId="FootnoteText">
    <w:name w:val="footnote text"/>
    <w:basedOn w:val="Normal"/>
    <w:semiHidden/>
    <w:rsid w:val="007B36BA"/>
    <w:pPr>
      <w:keepLines/>
      <w:spacing w:after="0"/>
      <w:ind w:left="454" w:hanging="454"/>
    </w:pPr>
    <w:rPr>
      <w:sz w:val="16"/>
      <w:szCs w:val="16"/>
    </w:rPr>
  </w:style>
  <w:style w:type="paragraph" w:customStyle="1" w:styleId="3GPPHeader">
    <w:name w:val="3GPP_Header"/>
    <w:basedOn w:val="Normal"/>
    <w:rsid w:val="007B36BA"/>
    <w:pPr>
      <w:tabs>
        <w:tab w:val="left" w:pos="1701"/>
        <w:tab w:val="right" w:pos="9639"/>
      </w:tabs>
      <w:spacing w:after="240"/>
    </w:pPr>
    <w:rPr>
      <w:b/>
      <w:sz w:val="24"/>
    </w:rPr>
  </w:style>
  <w:style w:type="paragraph" w:styleId="TOC9">
    <w:name w:val="toc 9"/>
    <w:basedOn w:val="TOC8"/>
    <w:semiHidden/>
    <w:rsid w:val="007B36BA"/>
    <w:pPr>
      <w:ind w:left="1418" w:hanging="1418"/>
    </w:pPr>
  </w:style>
  <w:style w:type="paragraph" w:styleId="TOC6">
    <w:name w:val="toc 6"/>
    <w:basedOn w:val="TOC5"/>
    <w:next w:val="Normal"/>
    <w:semiHidden/>
    <w:rsid w:val="007B36BA"/>
    <w:pPr>
      <w:ind w:left="1985" w:hanging="1985"/>
    </w:pPr>
  </w:style>
  <w:style w:type="paragraph" w:styleId="TOC7">
    <w:name w:val="toc 7"/>
    <w:basedOn w:val="TOC6"/>
    <w:next w:val="Normal"/>
    <w:semiHidden/>
    <w:rsid w:val="007B36BA"/>
    <w:pPr>
      <w:ind w:left="2268" w:hanging="2268"/>
    </w:pPr>
  </w:style>
  <w:style w:type="paragraph" w:styleId="ListBullet2">
    <w:name w:val="List Bullet 2"/>
    <w:basedOn w:val="ListBullet"/>
    <w:rsid w:val="007B36BA"/>
    <w:pPr>
      <w:numPr>
        <w:numId w:val="6"/>
      </w:numPr>
    </w:pPr>
  </w:style>
  <w:style w:type="paragraph" w:styleId="ListBullet">
    <w:name w:val="List Bullet"/>
    <w:basedOn w:val="BodyText"/>
    <w:rsid w:val="007B36BA"/>
    <w:pPr>
      <w:numPr>
        <w:numId w:val="5"/>
      </w:numPr>
    </w:pPr>
  </w:style>
  <w:style w:type="paragraph" w:styleId="ListBullet3">
    <w:name w:val="List Bullet 3"/>
    <w:basedOn w:val="ListBullet2"/>
    <w:rsid w:val="007B36BA"/>
    <w:pPr>
      <w:numPr>
        <w:numId w:val="7"/>
      </w:numPr>
    </w:pPr>
  </w:style>
  <w:style w:type="paragraph" w:customStyle="1" w:styleId="EQ">
    <w:name w:val="EQ"/>
    <w:basedOn w:val="Normal"/>
    <w:next w:val="Normal"/>
    <w:rsid w:val="007B36BA"/>
    <w:pPr>
      <w:keepLines/>
      <w:tabs>
        <w:tab w:val="center" w:pos="4536"/>
        <w:tab w:val="right" w:pos="9072"/>
      </w:tabs>
      <w:spacing w:after="180"/>
      <w:jc w:val="left"/>
    </w:pPr>
    <w:rPr>
      <w:noProof/>
      <w:lang w:eastAsia="en-US"/>
    </w:rPr>
  </w:style>
  <w:style w:type="paragraph" w:styleId="List2">
    <w:name w:val="List 2"/>
    <w:basedOn w:val="List"/>
    <w:rsid w:val="007B36BA"/>
    <w:pPr>
      <w:ind w:left="851"/>
    </w:pPr>
  </w:style>
  <w:style w:type="paragraph" w:styleId="List3">
    <w:name w:val="List 3"/>
    <w:basedOn w:val="List2"/>
    <w:rsid w:val="007B36BA"/>
    <w:pPr>
      <w:ind w:left="1135"/>
    </w:pPr>
  </w:style>
  <w:style w:type="paragraph" w:styleId="List4">
    <w:name w:val="List 4"/>
    <w:basedOn w:val="List3"/>
    <w:rsid w:val="007B36BA"/>
    <w:pPr>
      <w:ind w:left="1418"/>
    </w:pPr>
  </w:style>
  <w:style w:type="paragraph" w:styleId="List5">
    <w:name w:val="List 5"/>
    <w:basedOn w:val="List4"/>
    <w:rsid w:val="007B36BA"/>
    <w:pPr>
      <w:ind w:left="1702"/>
    </w:pPr>
  </w:style>
  <w:style w:type="paragraph" w:customStyle="1" w:styleId="EditorsNote">
    <w:name w:val="Editor's Note"/>
    <w:basedOn w:val="Normal"/>
    <w:rsid w:val="007B36BA"/>
    <w:pPr>
      <w:keepLines/>
      <w:spacing w:after="180"/>
      <w:ind w:left="1135" w:hanging="851"/>
      <w:jc w:val="left"/>
    </w:pPr>
    <w:rPr>
      <w:color w:val="FF0000"/>
      <w:lang w:eastAsia="en-US"/>
    </w:rPr>
  </w:style>
  <w:style w:type="paragraph" w:styleId="ListBullet4">
    <w:name w:val="List Bullet 4"/>
    <w:basedOn w:val="ListBullet3"/>
    <w:rsid w:val="007B36BA"/>
    <w:pPr>
      <w:numPr>
        <w:numId w:val="8"/>
      </w:numPr>
    </w:pPr>
  </w:style>
  <w:style w:type="paragraph" w:styleId="ListBullet5">
    <w:name w:val="List Bullet 5"/>
    <w:basedOn w:val="ListBullet4"/>
    <w:rsid w:val="007B36BA"/>
    <w:pPr>
      <w:numPr>
        <w:numId w:val="4"/>
      </w:numPr>
    </w:pPr>
  </w:style>
  <w:style w:type="paragraph" w:styleId="Footer">
    <w:name w:val="footer"/>
    <w:basedOn w:val="Header"/>
    <w:semiHidden/>
    <w:rsid w:val="007B36BA"/>
    <w:pPr>
      <w:jc w:val="center"/>
    </w:pPr>
    <w:rPr>
      <w:i/>
      <w:iCs/>
    </w:rPr>
  </w:style>
  <w:style w:type="paragraph" w:customStyle="1" w:styleId="Reference">
    <w:name w:val="Reference"/>
    <w:basedOn w:val="Normal"/>
    <w:rsid w:val="007B36BA"/>
    <w:pPr>
      <w:numPr>
        <w:numId w:val="2"/>
      </w:numPr>
    </w:pPr>
  </w:style>
  <w:style w:type="paragraph" w:styleId="BalloonText">
    <w:name w:val="Balloon Text"/>
    <w:basedOn w:val="Normal"/>
    <w:semiHidden/>
    <w:rsid w:val="007B36BA"/>
    <w:rPr>
      <w:rFonts w:ascii="Tahoma" w:hAnsi="Tahoma" w:cs="Tahoma"/>
      <w:sz w:val="16"/>
      <w:szCs w:val="16"/>
    </w:rPr>
  </w:style>
  <w:style w:type="character" w:styleId="PageNumber">
    <w:name w:val="page number"/>
    <w:basedOn w:val="DefaultParagraphFont"/>
    <w:semiHidden/>
    <w:rsid w:val="007B36BA"/>
  </w:style>
  <w:style w:type="paragraph" w:styleId="BodyText">
    <w:name w:val="Body Text"/>
    <w:basedOn w:val="Normal"/>
    <w:link w:val="BodyTextChar"/>
    <w:rsid w:val="007B36BA"/>
  </w:style>
  <w:style w:type="character" w:styleId="Hyperlink">
    <w:name w:val="Hyperlink"/>
    <w:uiPriority w:val="99"/>
    <w:rsid w:val="007B36BA"/>
    <w:rPr>
      <w:color w:val="0000FF"/>
      <w:u w:val="single"/>
      <w:lang w:val="en-GB"/>
    </w:rPr>
  </w:style>
  <w:style w:type="character" w:styleId="FollowedHyperlink">
    <w:name w:val="FollowedHyperlink"/>
    <w:semiHidden/>
    <w:rsid w:val="007B36BA"/>
    <w:rPr>
      <w:color w:val="FF0000"/>
      <w:u w:val="single"/>
    </w:rPr>
  </w:style>
  <w:style w:type="character" w:styleId="CommentReference">
    <w:name w:val="annotation reference"/>
    <w:semiHidden/>
    <w:rsid w:val="007B36BA"/>
    <w:rPr>
      <w:sz w:val="16"/>
      <w:szCs w:val="16"/>
    </w:rPr>
  </w:style>
  <w:style w:type="paragraph" w:styleId="CommentText">
    <w:name w:val="annotation text"/>
    <w:basedOn w:val="Normal"/>
    <w:link w:val="CommentTextChar"/>
    <w:rsid w:val="007B36BA"/>
  </w:style>
  <w:style w:type="paragraph" w:styleId="CommentSubject">
    <w:name w:val="annotation subject"/>
    <w:basedOn w:val="CommentText"/>
    <w:next w:val="CommentText"/>
    <w:semiHidden/>
    <w:rsid w:val="007B36BA"/>
    <w:rPr>
      <w:b/>
      <w:bCs/>
    </w:rPr>
  </w:style>
  <w:style w:type="character" w:customStyle="1" w:styleId="Heading1Char">
    <w:name w:val="Heading 1 Char"/>
    <w:link w:val="Heading1"/>
    <w:rsid w:val="007B36BA"/>
    <w:rPr>
      <w:rFonts w:ascii="Arial" w:hAnsi="Arial" w:cs="Arial"/>
      <w:sz w:val="36"/>
      <w:szCs w:val="36"/>
      <w:lang w:val="en-GB" w:eastAsia="zh-CN"/>
    </w:rPr>
  </w:style>
  <w:style w:type="paragraph" w:customStyle="1" w:styleId="B1">
    <w:name w:val="B1"/>
    <w:basedOn w:val="List"/>
    <w:link w:val="B1Char"/>
    <w:rsid w:val="007B36BA"/>
    <w:pPr>
      <w:spacing w:after="180"/>
      <w:jc w:val="left"/>
    </w:pPr>
    <w:rPr>
      <w:lang w:eastAsia="en-US"/>
    </w:rPr>
  </w:style>
  <w:style w:type="paragraph" w:customStyle="1" w:styleId="B2">
    <w:name w:val="B2"/>
    <w:basedOn w:val="List2"/>
    <w:rsid w:val="007B36BA"/>
    <w:pPr>
      <w:spacing w:after="180"/>
      <w:jc w:val="left"/>
    </w:pPr>
    <w:rPr>
      <w:lang w:eastAsia="en-US"/>
    </w:rPr>
  </w:style>
  <w:style w:type="paragraph" w:customStyle="1" w:styleId="B3">
    <w:name w:val="B3"/>
    <w:basedOn w:val="List3"/>
    <w:rsid w:val="007B36BA"/>
    <w:pPr>
      <w:spacing w:after="180"/>
      <w:jc w:val="left"/>
    </w:pPr>
    <w:rPr>
      <w:lang w:eastAsia="en-US"/>
    </w:rPr>
  </w:style>
  <w:style w:type="paragraph" w:customStyle="1" w:styleId="B4">
    <w:name w:val="B4"/>
    <w:basedOn w:val="List4"/>
    <w:rsid w:val="007B36BA"/>
    <w:pPr>
      <w:spacing w:after="180"/>
      <w:jc w:val="left"/>
    </w:pPr>
    <w:rPr>
      <w:lang w:eastAsia="en-US"/>
    </w:rPr>
  </w:style>
  <w:style w:type="paragraph" w:customStyle="1" w:styleId="Proposal">
    <w:name w:val="Proposal"/>
    <w:basedOn w:val="Normal"/>
    <w:rsid w:val="007B36BA"/>
    <w:pPr>
      <w:numPr>
        <w:numId w:val="3"/>
      </w:numPr>
      <w:tabs>
        <w:tab w:val="clear" w:pos="1304"/>
        <w:tab w:val="left" w:pos="1701"/>
      </w:tabs>
      <w:ind w:left="1701" w:hanging="1701"/>
    </w:pPr>
    <w:rPr>
      <w:b/>
      <w:bCs/>
    </w:rPr>
  </w:style>
  <w:style w:type="character" w:customStyle="1" w:styleId="BodyTextChar">
    <w:name w:val="Body Text Char"/>
    <w:link w:val="BodyText"/>
    <w:rsid w:val="007B36BA"/>
    <w:rPr>
      <w:rFonts w:ascii="Arial" w:hAnsi="Arial"/>
      <w:lang w:val="en-GB" w:eastAsia="zh-CN"/>
    </w:rPr>
  </w:style>
  <w:style w:type="paragraph" w:customStyle="1" w:styleId="B5">
    <w:name w:val="B5"/>
    <w:basedOn w:val="List5"/>
    <w:rsid w:val="007B36BA"/>
    <w:pPr>
      <w:spacing w:after="180"/>
      <w:jc w:val="left"/>
    </w:pPr>
    <w:rPr>
      <w:lang w:eastAsia="en-US"/>
    </w:rPr>
  </w:style>
  <w:style w:type="paragraph" w:customStyle="1" w:styleId="EX">
    <w:name w:val="EX"/>
    <w:basedOn w:val="Normal"/>
    <w:rsid w:val="007B36BA"/>
    <w:pPr>
      <w:keepLines/>
      <w:spacing w:after="180"/>
      <w:ind w:left="1702" w:hanging="1418"/>
      <w:jc w:val="left"/>
    </w:pPr>
    <w:rPr>
      <w:lang w:eastAsia="en-US"/>
    </w:rPr>
  </w:style>
  <w:style w:type="paragraph" w:customStyle="1" w:styleId="EW">
    <w:name w:val="EW"/>
    <w:basedOn w:val="EX"/>
    <w:rsid w:val="007B36BA"/>
    <w:pPr>
      <w:spacing w:after="0"/>
    </w:pPr>
  </w:style>
  <w:style w:type="paragraph" w:customStyle="1" w:styleId="TAL">
    <w:name w:val="TAL"/>
    <w:basedOn w:val="Normal"/>
    <w:rsid w:val="007B36BA"/>
    <w:pPr>
      <w:keepNext/>
      <w:keepLines/>
      <w:spacing w:after="0"/>
      <w:jc w:val="left"/>
    </w:pPr>
    <w:rPr>
      <w:sz w:val="18"/>
      <w:lang w:eastAsia="en-US"/>
    </w:rPr>
  </w:style>
  <w:style w:type="paragraph" w:customStyle="1" w:styleId="TAC">
    <w:name w:val="TAC"/>
    <w:basedOn w:val="TAL"/>
    <w:link w:val="TACChar"/>
    <w:rsid w:val="007B36BA"/>
    <w:pPr>
      <w:jc w:val="center"/>
    </w:pPr>
  </w:style>
  <w:style w:type="paragraph" w:customStyle="1" w:styleId="TAH">
    <w:name w:val="TAH"/>
    <w:basedOn w:val="TAC"/>
    <w:link w:val="TAHCar"/>
    <w:rsid w:val="007B36BA"/>
    <w:rPr>
      <w:b/>
    </w:rPr>
  </w:style>
  <w:style w:type="paragraph" w:customStyle="1" w:styleId="TAN">
    <w:name w:val="TAN"/>
    <w:basedOn w:val="TAL"/>
    <w:rsid w:val="007B36BA"/>
    <w:pPr>
      <w:ind w:left="851" w:hanging="851"/>
    </w:pPr>
  </w:style>
  <w:style w:type="paragraph" w:customStyle="1" w:styleId="TAR">
    <w:name w:val="TAR"/>
    <w:basedOn w:val="TAL"/>
    <w:rsid w:val="007B36BA"/>
    <w:pPr>
      <w:jc w:val="right"/>
    </w:pPr>
  </w:style>
  <w:style w:type="paragraph" w:customStyle="1" w:styleId="TH">
    <w:name w:val="TH"/>
    <w:basedOn w:val="Normal"/>
    <w:link w:val="THChar"/>
    <w:rsid w:val="007B36BA"/>
    <w:pPr>
      <w:keepNext/>
      <w:keepLines/>
      <w:spacing w:before="60" w:after="180"/>
      <w:jc w:val="center"/>
    </w:pPr>
    <w:rPr>
      <w:b/>
      <w:lang w:eastAsia="en-US"/>
    </w:rPr>
  </w:style>
  <w:style w:type="paragraph" w:customStyle="1" w:styleId="TF">
    <w:name w:val="TF"/>
    <w:aliases w:val="left"/>
    <w:basedOn w:val="TH"/>
    <w:link w:val="TFChar"/>
    <w:rsid w:val="007B36BA"/>
    <w:pPr>
      <w:keepNext w:val="0"/>
      <w:spacing w:before="0" w:after="240"/>
    </w:pPr>
  </w:style>
  <w:style w:type="paragraph" w:customStyle="1" w:styleId="TT">
    <w:name w:val="TT"/>
    <w:basedOn w:val="Heading1"/>
    <w:next w:val="Normal"/>
    <w:rsid w:val="007B36BA"/>
    <w:pPr>
      <w:numPr>
        <w:numId w:val="0"/>
      </w:numPr>
      <w:ind w:left="1134" w:hanging="1134"/>
      <w:outlineLvl w:val="9"/>
    </w:pPr>
    <w:rPr>
      <w:rFonts w:cs="Times New Roman"/>
      <w:szCs w:val="20"/>
      <w:lang w:eastAsia="en-US"/>
    </w:rPr>
  </w:style>
  <w:style w:type="paragraph" w:customStyle="1" w:styleId="ZA">
    <w:name w:val="ZA"/>
    <w:rsid w:val="007B36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6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6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B36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B36BA"/>
  </w:style>
  <w:style w:type="paragraph" w:customStyle="1" w:styleId="ZH">
    <w:name w:val="ZH"/>
    <w:rsid w:val="007B36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B36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B36BA"/>
    <w:pPr>
      <w:framePr w:hRule="auto" w:wrap="notBeside" w:y="852"/>
    </w:pPr>
    <w:rPr>
      <w:i w:val="0"/>
      <w:sz w:val="40"/>
    </w:rPr>
  </w:style>
  <w:style w:type="paragraph" w:customStyle="1" w:styleId="ZU">
    <w:name w:val="ZU"/>
    <w:rsid w:val="007B36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6BA"/>
    <w:pPr>
      <w:framePr w:wrap="notBeside" w:y="16161"/>
    </w:pPr>
  </w:style>
  <w:style w:type="paragraph" w:customStyle="1" w:styleId="FP">
    <w:name w:val="FP"/>
    <w:basedOn w:val="Normal"/>
    <w:rsid w:val="007B36BA"/>
    <w:pPr>
      <w:spacing w:after="0"/>
      <w:jc w:val="left"/>
    </w:pPr>
    <w:rPr>
      <w:lang w:eastAsia="en-US"/>
    </w:rPr>
  </w:style>
  <w:style w:type="paragraph" w:customStyle="1" w:styleId="Observation">
    <w:name w:val="Observation"/>
    <w:basedOn w:val="Proposal"/>
    <w:qFormat/>
    <w:rsid w:val="007B36BA"/>
    <w:pPr>
      <w:numPr>
        <w:numId w:val="13"/>
      </w:numPr>
      <w:ind w:left="1701" w:hanging="1701"/>
    </w:pPr>
  </w:style>
  <w:style w:type="paragraph" w:styleId="TableofFigures">
    <w:name w:val="table of figures"/>
    <w:basedOn w:val="Normal"/>
    <w:next w:val="Normal"/>
    <w:uiPriority w:val="99"/>
    <w:rsid w:val="007B36BA"/>
    <w:pPr>
      <w:ind w:left="1418" w:hanging="1418"/>
      <w:jc w:val="left"/>
    </w:pPr>
    <w:rPr>
      <w:b/>
    </w:rPr>
  </w:style>
  <w:style w:type="paragraph" w:customStyle="1" w:styleId="Doc-text2">
    <w:name w:val="Doc-text2"/>
    <w:basedOn w:val="Normal"/>
    <w:link w:val="Doc-text2Char"/>
    <w:qFormat/>
    <w:rsid w:val="007B36B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B36BA"/>
    <w:rPr>
      <w:rFonts w:ascii="Arial" w:eastAsia="MS Mincho" w:hAnsi="Arial"/>
      <w:szCs w:val="24"/>
      <w:lang w:val="en-GB" w:eastAsia="en-GB"/>
    </w:rPr>
  </w:style>
  <w:style w:type="paragraph" w:styleId="ListParagraph">
    <w:name w:val="List Paragraph"/>
    <w:basedOn w:val="Normal"/>
    <w:uiPriority w:val="34"/>
    <w:qFormat/>
    <w:rsid w:val="00A404C6"/>
    <w:pPr>
      <w:ind w:left="720"/>
      <w:contextualSpacing/>
    </w:pPr>
  </w:style>
  <w:style w:type="character" w:customStyle="1" w:styleId="CommentTextChar">
    <w:name w:val="Comment Text Char"/>
    <w:basedOn w:val="DefaultParagraphFont"/>
    <w:link w:val="CommentText"/>
    <w:rsid w:val="00A404C6"/>
    <w:rPr>
      <w:rFonts w:ascii="Arial" w:hAnsi="Arial"/>
      <w:lang w:val="en-GB" w:eastAsia="zh-CN"/>
    </w:rPr>
  </w:style>
  <w:style w:type="paragraph" w:customStyle="1" w:styleId="IvDInstructiontext">
    <w:name w:val="IvD Instructiontext"/>
    <w:basedOn w:val="BodyText"/>
    <w:link w:val="IvDInstructiontextChar"/>
    <w:uiPriority w:val="99"/>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4C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A404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404C6"/>
    <w:rPr>
      <w:rFonts w:ascii="Arial" w:hAnsi="Arial"/>
      <w:spacing w:val="2"/>
      <w:lang w:val="en-GB" w:eastAsia="zh-CN"/>
    </w:rPr>
  </w:style>
  <w:style w:type="character" w:customStyle="1" w:styleId="B1Char">
    <w:name w:val="B1 Char"/>
    <w:basedOn w:val="DefaultParagraphFont"/>
    <w:link w:val="B1"/>
    <w:rsid w:val="00A404C6"/>
    <w:rPr>
      <w:rFonts w:ascii="Arial" w:hAnsi="Arial"/>
      <w:lang w:val="en-GB"/>
    </w:rPr>
  </w:style>
  <w:style w:type="character" w:customStyle="1" w:styleId="apple-converted-space">
    <w:name w:val="apple-converted-space"/>
    <w:basedOn w:val="DefaultParagraphFont"/>
    <w:rsid w:val="00F815B7"/>
  </w:style>
  <w:style w:type="table" w:styleId="TableGrid">
    <w:name w:val="Table Grid"/>
    <w:basedOn w:val="TableNormal"/>
    <w:rsid w:val="00265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265DE3"/>
    <w:rPr>
      <w:rFonts w:ascii="Arial" w:hAnsi="Arial"/>
      <w:b/>
      <w:lang w:val="en-GB"/>
    </w:rPr>
  </w:style>
  <w:style w:type="character" w:customStyle="1" w:styleId="TACChar">
    <w:name w:val="TAC Char"/>
    <w:link w:val="TAC"/>
    <w:rsid w:val="00265DE3"/>
    <w:rPr>
      <w:rFonts w:ascii="Arial" w:hAnsi="Arial"/>
      <w:sz w:val="18"/>
      <w:lang w:val="en-GB"/>
    </w:rPr>
  </w:style>
  <w:style w:type="character" w:customStyle="1" w:styleId="TAHCar">
    <w:name w:val="TAH Car"/>
    <w:link w:val="TAH"/>
    <w:rsid w:val="00265DE3"/>
    <w:rPr>
      <w:rFonts w:ascii="Arial" w:hAnsi="Arial"/>
      <w:b/>
      <w:sz w:val="18"/>
      <w:lang w:val="en-GB"/>
    </w:rPr>
  </w:style>
  <w:style w:type="paragraph" w:customStyle="1" w:styleId="PL">
    <w:name w:val="PL"/>
    <w:link w:val="PLChar"/>
    <w:rsid w:val="00934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934E8A"/>
    <w:rPr>
      <w:rFonts w:ascii="Courier New" w:hAnsi="Courier New"/>
      <w:noProof/>
      <w:sz w:val="16"/>
      <w:lang w:val="en-GB"/>
    </w:rPr>
  </w:style>
  <w:style w:type="character" w:customStyle="1" w:styleId="TFChar">
    <w:name w:val="TF Char"/>
    <w:link w:val="TF"/>
    <w:rsid w:val="00DC3AB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891062">
      <w:bodyDiv w:val="1"/>
      <w:marLeft w:val="0"/>
      <w:marRight w:val="0"/>
      <w:marTop w:val="0"/>
      <w:marBottom w:val="0"/>
      <w:divBdr>
        <w:top w:val="none" w:sz="0" w:space="0" w:color="auto"/>
        <w:left w:val="none" w:sz="0" w:space="0" w:color="auto"/>
        <w:bottom w:val="none" w:sz="0" w:space="0" w:color="auto"/>
        <w:right w:val="none" w:sz="0" w:space="0" w:color="auto"/>
      </w:divBdr>
      <w:divsChild>
        <w:div w:id="1519152466">
          <w:marLeft w:val="274"/>
          <w:marRight w:val="0"/>
          <w:marTop w:val="86"/>
          <w:marBottom w:val="0"/>
          <w:divBdr>
            <w:top w:val="none" w:sz="0" w:space="0" w:color="auto"/>
            <w:left w:val="none" w:sz="0" w:space="0" w:color="auto"/>
            <w:bottom w:val="none" w:sz="0" w:space="0" w:color="auto"/>
            <w:right w:val="none" w:sz="0" w:space="0" w:color="auto"/>
          </w:divBdr>
        </w:div>
      </w:divsChild>
    </w:div>
    <w:div w:id="793911408">
      <w:bodyDiv w:val="1"/>
      <w:marLeft w:val="0"/>
      <w:marRight w:val="0"/>
      <w:marTop w:val="0"/>
      <w:marBottom w:val="0"/>
      <w:divBdr>
        <w:top w:val="none" w:sz="0" w:space="0" w:color="auto"/>
        <w:left w:val="none" w:sz="0" w:space="0" w:color="auto"/>
        <w:bottom w:val="none" w:sz="0" w:space="0" w:color="auto"/>
        <w:right w:val="none" w:sz="0" w:space="0" w:color="auto"/>
      </w:divBdr>
      <w:divsChild>
        <w:div w:id="935668884">
          <w:marLeft w:val="274"/>
          <w:marRight w:val="0"/>
          <w:marTop w:val="82"/>
          <w:marBottom w:val="0"/>
          <w:divBdr>
            <w:top w:val="none" w:sz="0" w:space="0" w:color="auto"/>
            <w:left w:val="none" w:sz="0" w:space="0" w:color="auto"/>
            <w:bottom w:val="none" w:sz="0" w:space="0" w:color="auto"/>
            <w:right w:val="none" w:sz="0" w:space="0" w:color="auto"/>
          </w:divBdr>
        </w:div>
      </w:divsChild>
    </w:div>
    <w:div w:id="1011222728">
      <w:bodyDiv w:val="1"/>
      <w:marLeft w:val="0"/>
      <w:marRight w:val="0"/>
      <w:marTop w:val="0"/>
      <w:marBottom w:val="0"/>
      <w:divBdr>
        <w:top w:val="none" w:sz="0" w:space="0" w:color="auto"/>
        <w:left w:val="none" w:sz="0" w:space="0" w:color="auto"/>
        <w:bottom w:val="none" w:sz="0" w:space="0" w:color="auto"/>
        <w:right w:val="none" w:sz="0" w:space="0" w:color="auto"/>
      </w:divBdr>
      <w:divsChild>
        <w:div w:id="688992508">
          <w:marLeft w:val="274"/>
          <w:marRight w:val="0"/>
          <w:marTop w:val="8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3473774">
      <w:bodyDiv w:val="1"/>
      <w:marLeft w:val="0"/>
      <w:marRight w:val="0"/>
      <w:marTop w:val="0"/>
      <w:marBottom w:val="0"/>
      <w:divBdr>
        <w:top w:val="none" w:sz="0" w:space="0" w:color="auto"/>
        <w:left w:val="none" w:sz="0" w:space="0" w:color="auto"/>
        <w:bottom w:val="none" w:sz="0" w:space="0" w:color="auto"/>
        <w:right w:val="none" w:sz="0" w:space="0" w:color="auto"/>
      </w:divBdr>
    </w:div>
    <w:div w:id="205306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5NUHHDQN7SK2-1-116292</_dlc_DocId>
    <_dlc_DocIdUrl xmlns="08b2df90-05d3-4030-90d4-c9feeb4a1cd9">
      <Url>https://ericoll.internal.ericsson.com/sites/STAR/_layouts/DocIdRedir.aspx?ID=5NUHHDQN7SK2-1-116292</Url>
      <Description>5NUHHDQN7SK2-1-116292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FE935B0-0508-4868-AEA9-90819070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3</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Oumer Teyeb</dc:creator>
  <cp:keywords>Ericsson; TDoc; 3GPP</cp:keywords>
  <cp:lastModifiedBy>Oumer Teyeb</cp:lastModifiedBy>
  <cp:revision>4</cp:revision>
  <cp:lastPrinted>2008-01-31T16:09:00Z</cp:lastPrinted>
  <dcterms:created xsi:type="dcterms:W3CDTF">2017-05-05T14:23:00Z</dcterms:created>
  <dcterms:modified xsi:type="dcterms:W3CDTF">2017-05-05T14:25:00Z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67ef4f3a-6c93-4118-a767-5ac321062a7f</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